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commentRangeStart w:id="1"/>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commentRangeEnd w:id="1"/>
      <w:r>
        <w:rPr>
          <w:rStyle w:val="CommentReference"/>
        </w:rPr>
        <w:commentReference w:id="1"/>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w:t>
      </w:r>
      <w:r w:rsidRPr="00960E04">
        <w:rPr>
          <w:rFonts w:eastAsia="Calibri" w:cstheme="minorHAnsi"/>
          <w:bCs/>
        </w:rPr>
        <w:lastRenderedPageBreak/>
        <w:t>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C64323" w:rsidRPr="0099147E" w14:paraId="212AD005" w14:textId="77777777" w:rsidTr="00360BC7">
        <w:trPr>
          <w:trHeight w:val="520"/>
        </w:trPr>
        <w:tc>
          <w:tcPr>
            <w:tcW w:w="805" w:type="dxa"/>
            <w:shd w:val="clear" w:color="auto" w:fill="D5DCE4" w:themeFill="text2" w:themeFillTint="33"/>
            <w:vAlign w:val="bottom"/>
          </w:tcPr>
          <w:p w14:paraId="650D87D0" w14:textId="5BF16001" w:rsidR="00C64323" w:rsidRDefault="00C64323" w:rsidP="00C64323">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53202E4C" w14:textId="62EF8884"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252.211-7006 </w:t>
            </w:r>
          </w:p>
        </w:tc>
        <w:tc>
          <w:tcPr>
            <w:tcW w:w="2967" w:type="dxa"/>
            <w:shd w:val="clear" w:color="auto" w:fill="D5DCE4" w:themeFill="text2" w:themeFillTint="33"/>
            <w:vAlign w:val="bottom"/>
          </w:tcPr>
          <w:p w14:paraId="149CFD7E" w14:textId="09F83A51"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Passive Radio Frequency Identification.</w:t>
            </w:r>
          </w:p>
        </w:tc>
        <w:tc>
          <w:tcPr>
            <w:tcW w:w="960" w:type="dxa"/>
            <w:noWrap/>
          </w:tcPr>
          <w:p w14:paraId="5812322B" w14:textId="77777777" w:rsidR="00C64323" w:rsidRPr="00C64323"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3/1/2018</w:t>
            </w:r>
          </w:p>
          <w:p w14:paraId="65B5831E" w14:textId="3341E2C6" w:rsidR="00C64323" w:rsidRPr="0099147E" w:rsidRDefault="00C64323" w:rsidP="00C64323">
            <w:pPr>
              <w:rPr>
                <w:rFonts w:ascii="Arial Narrow" w:eastAsia="Times New Roman" w:hAnsi="Arial Narrow" w:cs="Times New Roman"/>
                <w:color w:val="000000"/>
                <w:sz w:val="20"/>
                <w:szCs w:val="20"/>
              </w:rPr>
            </w:pPr>
          </w:p>
        </w:tc>
        <w:tc>
          <w:tcPr>
            <w:tcW w:w="3088" w:type="dxa"/>
            <w:vAlign w:val="bottom"/>
          </w:tcPr>
          <w:p w14:paraId="7F740683" w14:textId="26E921D2"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None.</w:t>
            </w:r>
          </w:p>
        </w:tc>
      </w:tr>
      <w:tr w:rsidR="00C64323" w:rsidRPr="0099147E" w14:paraId="2AC905EE" w14:textId="77777777" w:rsidTr="00360BC7">
        <w:trPr>
          <w:trHeight w:val="520"/>
        </w:trPr>
        <w:tc>
          <w:tcPr>
            <w:tcW w:w="805" w:type="dxa"/>
            <w:shd w:val="clear" w:color="auto" w:fill="D5DCE4" w:themeFill="text2" w:themeFillTint="33"/>
            <w:vAlign w:val="bottom"/>
          </w:tcPr>
          <w:p w14:paraId="027B102F" w14:textId="4D56CC0B"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hideMark/>
          </w:tcPr>
          <w:p w14:paraId="46288FAD" w14:textId="1A6037A5"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52.246-15 </w:t>
            </w:r>
          </w:p>
        </w:tc>
        <w:tc>
          <w:tcPr>
            <w:tcW w:w="2967" w:type="dxa"/>
            <w:shd w:val="clear" w:color="auto" w:fill="D5DCE4" w:themeFill="text2" w:themeFillTint="33"/>
            <w:vAlign w:val="bottom"/>
            <w:hideMark/>
          </w:tcPr>
          <w:p w14:paraId="1D1CA6F6" w14:textId="018262A5"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Certificate of Conformance.</w:t>
            </w:r>
          </w:p>
        </w:tc>
        <w:tc>
          <w:tcPr>
            <w:tcW w:w="960" w:type="dxa"/>
            <w:noWrap/>
            <w:vAlign w:val="bottom"/>
            <w:hideMark/>
          </w:tcPr>
          <w:p w14:paraId="6F3DDDF1" w14:textId="021FA948"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4/1/1984</w:t>
            </w:r>
          </w:p>
        </w:tc>
        <w:tc>
          <w:tcPr>
            <w:tcW w:w="3088" w:type="dxa"/>
            <w:vAlign w:val="bottom"/>
            <w:hideMark/>
          </w:tcPr>
          <w:p w14:paraId="337857B2" w14:textId="57A877B2"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N/A.</w:t>
            </w:r>
          </w:p>
        </w:tc>
      </w:tr>
      <w:tr w:rsidR="00C64323" w:rsidRPr="0099147E" w14:paraId="0E2D3549" w14:textId="77777777" w:rsidTr="00360BC7">
        <w:trPr>
          <w:trHeight w:val="260"/>
        </w:trPr>
        <w:tc>
          <w:tcPr>
            <w:tcW w:w="805" w:type="dxa"/>
            <w:shd w:val="clear" w:color="auto" w:fill="D5DCE4" w:themeFill="text2" w:themeFillTint="33"/>
            <w:vAlign w:val="bottom"/>
          </w:tcPr>
          <w:p w14:paraId="7CF55320" w14:textId="515C50C0"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hideMark/>
          </w:tcPr>
          <w:p w14:paraId="6A82E065" w14:textId="630A5BA0"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52.242-15 </w:t>
            </w:r>
          </w:p>
        </w:tc>
        <w:tc>
          <w:tcPr>
            <w:tcW w:w="2967" w:type="dxa"/>
            <w:shd w:val="clear" w:color="auto" w:fill="D5DCE4" w:themeFill="text2" w:themeFillTint="33"/>
            <w:vAlign w:val="bottom"/>
            <w:hideMark/>
          </w:tcPr>
          <w:p w14:paraId="39E76094" w14:textId="133B00F7"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Stop-Work Order.</w:t>
            </w:r>
          </w:p>
        </w:tc>
        <w:tc>
          <w:tcPr>
            <w:tcW w:w="960" w:type="dxa"/>
            <w:noWrap/>
            <w:vAlign w:val="bottom"/>
            <w:hideMark/>
          </w:tcPr>
          <w:p w14:paraId="7C70D817" w14:textId="113B0E43"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8/1/1989</w:t>
            </w:r>
          </w:p>
        </w:tc>
        <w:tc>
          <w:tcPr>
            <w:tcW w:w="3088" w:type="dxa"/>
            <w:vAlign w:val="bottom"/>
            <w:hideMark/>
          </w:tcPr>
          <w:p w14:paraId="101EF1C1" w14:textId="51A00D9F"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"Contracting Officer" and "Government" mean "Lockheed Martin."</w:t>
            </w:r>
          </w:p>
        </w:tc>
      </w:tr>
      <w:tr w:rsidR="00C64323" w:rsidRPr="0099147E" w14:paraId="0B554154" w14:textId="77777777" w:rsidTr="00360BC7">
        <w:trPr>
          <w:trHeight w:val="1570"/>
        </w:trPr>
        <w:tc>
          <w:tcPr>
            <w:tcW w:w="805" w:type="dxa"/>
            <w:shd w:val="clear" w:color="auto" w:fill="D5DCE4" w:themeFill="text2" w:themeFillTint="33"/>
            <w:vAlign w:val="bottom"/>
          </w:tcPr>
          <w:p w14:paraId="7761DF86" w14:textId="3D43233F"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hideMark/>
          </w:tcPr>
          <w:p w14:paraId="00C905C1" w14:textId="082A157D"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252.209-7010 </w:t>
            </w:r>
          </w:p>
        </w:tc>
        <w:tc>
          <w:tcPr>
            <w:tcW w:w="2967" w:type="dxa"/>
            <w:shd w:val="clear" w:color="auto" w:fill="D5DCE4" w:themeFill="text2" w:themeFillTint="33"/>
            <w:vAlign w:val="bottom"/>
            <w:hideMark/>
          </w:tcPr>
          <w:p w14:paraId="3AEE6A25" w14:textId="05FBB2DA"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Critical Safety Items.</w:t>
            </w:r>
          </w:p>
        </w:tc>
        <w:tc>
          <w:tcPr>
            <w:tcW w:w="960" w:type="dxa"/>
            <w:noWrap/>
            <w:vAlign w:val="bottom"/>
            <w:hideMark/>
          </w:tcPr>
          <w:p w14:paraId="676AEDA6" w14:textId="657007C0"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8/1/2011</w:t>
            </w:r>
          </w:p>
        </w:tc>
        <w:tc>
          <w:tcPr>
            <w:tcW w:w="3088" w:type="dxa"/>
            <w:vAlign w:val="bottom"/>
            <w:hideMark/>
          </w:tcPr>
          <w:p w14:paraId="0C2BE74E" w14:textId="5E845B4D"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N/A.</w:t>
            </w:r>
          </w:p>
        </w:tc>
      </w:tr>
      <w:tr w:rsidR="00C64323" w:rsidRPr="0099147E" w14:paraId="3EA99EC2" w14:textId="77777777" w:rsidTr="00360BC7">
        <w:trPr>
          <w:trHeight w:val="260"/>
        </w:trPr>
        <w:tc>
          <w:tcPr>
            <w:tcW w:w="805" w:type="dxa"/>
            <w:shd w:val="clear" w:color="auto" w:fill="D5DCE4" w:themeFill="text2" w:themeFillTint="33"/>
            <w:vAlign w:val="bottom"/>
          </w:tcPr>
          <w:p w14:paraId="60B7EA83" w14:textId="457F08E1"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hideMark/>
          </w:tcPr>
          <w:p w14:paraId="0AAC89DF" w14:textId="34EB8371"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52.203-15 </w:t>
            </w:r>
          </w:p>
        </w:tc>
        <w:tc>
          <w:tcPr>
            <w:tcW w:w="2967" w:type="dxa"/>
            <w:shd w:val="clear" w:color="auto" w:fill="D5DCE4" w:themeFill="text2" w:themeFillTint="33"/>
            <w:vAlign w:val="bottom"/>
            <w:hideMark/>
          </w:tcPr>
          <w:p w14:paraId="1831E12B" w14:textId="0B958987"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Whistleblower Protections Under the American Recovery and Reinvestment Act of 2009.</w:t>
            </w:r>
          </w:p>
        </w:tc>
        <w:tc>
          <w:tcPr>
            <w:tcW w:w="960" w:type="dxa"/>
            <w:noWrap/>
            <w:vAlign w:val="bottom"/>
            <w:hideMark/>
          </w:tcPr>
          <w:p w14:paraId="4C97E817" w14:textId="3D948B25"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6/1/2010</w:t>
            </w:r>
          </w:p>
        </w:tc>
        <w:tc>
          <w:tcPr>
            <w:tcW w:w="3088" w:type="dxa"/>
            <w:vAlign w:val="bottom"/>
            <w:hideMark/>
          </w:tcPr>
          <w:p w14:paraId="7AAFA068" w14:textId="686372BA"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None.</w:t>
            </w:r>
          </w:p>
        </w:tc>
      </w:tr>
      <w:tr w:rsidR="00C64323" w:rsidRPr="0099147E" w14:paraId="504747DF" w14:textId="77777777" w:rsidTr="00360BC7">
        <w:trPr>
          <w:trHeight w:val="260"/>
        </w:trPr>
        <w:tc>
          <w:tcPr>
            <w:tcW w:w="805" w:type="dxa"/>
            <w:shd w:val="clear" w:color="auto" w:fill="D5DCE4" w:themeFill="text2" w:themeFillTint="33"/>
            <w:vAlign w:val="bottom"/>
          </w:tcPr>
          <w:p w14:paraId="15B7DBD5" w14:textId="4A1E4AC2"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497942FD" w14:textId="0726E3F9"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252.204-7000 </w:t>
            </w:r>
          </w:p>
        </w:tc>
        <w:tc>
          <w:tcPr>
            <w:tcW w:w="2967" w:type="dxa"/>
            <w:shd w:val="clear" w:color="auto" w:fill="D5DCE4" w:themeFill="text2" w:themeFillTint="33"/>
            <w:vAlign w:val="bottom"/>
          </w:tcPr>
          <w:p w14:paraId="4C0BAEC3" w14:textId="02C9BACA"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Disclosure of Information.</w:t>
            </w:r>
          </w:p>
        </w:tc>
        <w:tc>
          <w:tcPr>
            <w:tcW w:w="960" w:type="dxa"/>
            <w:noWrap/>
            <w:vAlign w:val="bottom"/>
          </w:tcPr>
          <w:p w14:paraId="773C5A49" w14:textId="06AAD573"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10/1/2016</w:t>
            </w:r>
          </w:p>
        </w:tc>
        <w:tc>
          <w:tcPr>
            <w:tcW w:w="3088" w:type="dxa"/>
            <w:vAlign w:val="bottom"/>
          </w:tcPr>
          <w:p w14:paraId="61608E7D" w14:textId="4A3531CC"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In paragraph (b) "Contracting Officer" means "Lockheed Martin" and "10 days" means "20days."</w:t>
            </w:r>
          </w:p>
        </w:tc>
      </w:tr>
      <w:tr w:rsidR="00C64323" w:rsidRPr="0099147E" w14:paraId="2A8404A5" w14:textId="77777777" w:rsidTr="00360BC7">
        <w:trPr>
          <w:trHeight w:val="260"/>
        </w:trPr>
        <w:tc>
          <w:tcPr>
            <w:tcW w:w="805" w:type="dxa"/>
            <w:shd w:val="clear" w:color="auto" w:fill="D5DCE4" w:themeFill="text2" w:themeFillTint="33"/>
            <w:vAlign w:val="bottom"/>
          </w:tcPr>
          <w:p w14:paraId="53ADD047" w14:textId="7A0485B8"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4E1C22B0" w14:textId="1A8AE1E0"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252.239-7010 </w:t>
            </w:r>
          </w:p>
        </w:tc>
        <w:tc>
          <w:tcPr>
            <w:tcW w:w="2967" w:type="dxa"/>
            <w:shd w:val="clear" w:color="auto" w:fill="D5DCE4" w:themeFill="text2" w:themeFillTint="33"/>
            <w:vAlign w:val="bottom"/>
          </w:tcPr>
          <w:p w14:paraId="286B8D2F" w14:textId="100F9A72"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Cloud Computing Services.</w:t>
            </w:r>
          </w:p>
        </w:tc>
        <w:tc>
          <w:tcPr>
            <w:tcW w:w="960" w:type="dxa"/>
            <w:noWrap/>
            <w:vAlign w:val="bottom"/>
          </w:tcPr>
          <w:p w14:paraId="41141659" w14:textId="62CB496F"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10/1/2016</w:t>
            </w:r>
          </w:p>
        </w:tc>
        <w:tc>
          <w:tcPr>
            <w:tcW w:w="3088" w:type="dxa"/>
            <w:vAlign w:val="bottom"/>
          </w:tcPr>
          <w:p w14:paraId="3AAA18BE" w14:textId="75C42BFC"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Applies if this Contract involves use of cloud services.</w:t>
            </w:r>
          </w:p>
        </w:tc>
      </w:tr>
      <w:tr w:rsidR="00C64323" w:rsidRPr="0099147E" w14:paraId="33D12F2A" w14:textId="77777777" w:rsidTr="00360BC7">
        <w:trPr>
          <w:trHeight w:val="260"/>
        </w:trPr>
        <w:tc>
          <w:tcPr>
            <w:tcW w:w="805" w:type="dxa"/>
            <w:shd w:val="clear" w:color="auto" w:fill="D5DCE4" w:themeFill="text2" w:themeFillTint="33"/>
            <w:vAlign w:val="bottom"/>
          </w:tcPr>
          <w:p w14:paraId="74A25B01" w14:textId="5D0815EE"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138A33EC" w14:textId="1A3E3736"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252.225-7001 ALT I </w:t>
            </w:r>
          </w:p>
        </w:tc>
        <w:tc>
          <w:tcPr>
            <w:tcW w:w="2967" w:type="dxa"/>
            <w:shd w:val="clear" w:color="auto" w:fill="D5DCE4" w:themeFill="text2" w:themeFillTint="33"/>
            <w:vAlign w:val="bottom"/>
          </w:tcPr>
          <w:p w14:paraId="37F69045" w14:textId="41A4D0B2"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Alternate I - Buy American and Balance of Payments Program.</w:t>
            </w:r>
          </w:p>
        </w:tc>
        <w:tc>
          <w:tcPr>
            <w:tcW w:w="960" w:type="dxa"/>
            <w:noWrap/>
            <w:vAlign w:val="bottom"/>
          </w:tcPr>
          <w:p w14:paraId="09096F00" w14:textId="2BCD0B0E"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12/1/2017</w:t>
            </w:r>
          </w:p>
        </w:tc>
        <w:tc>
          <w:tcPr>
            <w:tcW w:w="3088" w:type="dxa"/>
            <w:vAlign w:val="bottom"/>
          </w:tcPr>
          <w:p w14:paraId="49F414DD" w14:textId="77777777" w:rsidR="00C64323" w:rsidRPr="0099147E" w:rsidRDefault="00C64323" w:rsidP="00C64323">
            <w:pPr>
              <w:rPr>
                <w:rFonts w:ascii="Arial Narrow" w:eastAsia="Times New Roman" w:hAnsi="Arial Narrow" w:cs="Times New Roman"/>
                <w:color w:val="000000"/>
                <w:sz w:val="20"/>
                <w:szCs w:val="20"/>
              </w:rPr>
            </w:pPr>
          </w:p>
        </w:tc>
      </w:tr>
      <w:tr w:rsidR="00C64323" w:rsidRPr="0099147E" w14:paraId="08015D04" w14:textId="77777777" w:rsidTr="00360BC7">
        <w:trPr>
          <w:trHeight w:val="260"/>
        </w:trPr>
        <w:tc>
          <w:tcPr>
            <w:tcW w:w="805" w:type="dxa"/>
            <w:shd w:val="clear" w:color="auto" w:fill="D5DCE4" w:themeFill="text2" w:themeFillTint="33"/>
            <w:vAlign w:val="bottom"/>
          </w:tcPr>
          <w:p w14:paraId="39FC768A" w14:textId="5FD8CDBC"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255C708A" w14:textId="1B598B34"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252.225-7027 </w:t>
            </w:r>
          </w:p>
        </w:tc>
        <w:tc>
          <w:tcPr>
            <w:tcW w:w="2967" w:type="dxa"/>
            <w:shd w:val="clear" w:color="auto" w:fill="D5DCE4" w:themeFill="text2" w:themeFillTint="33"/>
            <w:vAlign w:val="bottom"/>
          </w:tcPr>
          <w:p w14:paraId="665620E4" w14:textId="6AE71FDE"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Restriction on Contingent Fees for Foreign Military Sales.</w:t>
            </w:r>
          </w:p>
        </w:tc>
        <w:tc>
          <w:tcPr>
            <w:tcW w:w="960" w:type="dxa"/>
            <w:noWrap/>
            <w:vAlign w:val="bottom"/>
          </w:tcPr>
          <w:p w14:paraId="1138C4F7" w14:textId="742DE8DB"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4/1/2003</w:t>
            </w:r>
          </w:p>
        </w:tc>
        <w:tc>
          <w:tcPr>
            <w:tcW w:w="3088" w:type="dxa"/>
            <w:vAlign w:val="bottom"/>
          </w:tcPr>
          <w:p w14:paraId="49E8EE0E" w14:textId="17E3A790"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The reference to the clause in</w:t>
            </w:r>
            <w:r w:rsidR="007D616E">
              <w:rPr>
                <w:rFonts w:ascii="Calibri" w:hAnsi="Calibri" w:cs="Calibri"/>
                <w:color w:val="000000"/>
              </w:rPr>
              <w:t xml:space="preserve"> </w:t>
            </w:r>
            <w:r>
              <w:rPr>
                <w:rFonts w:ascii="Calibri" w:hAnsi="Calibri" w:cs="Calibri"/>
                <w:color w:val="000000"/>
              </w:rPr>
              <w:t>paragraph (a) means FAR 52.203-5. The blank in paragraph (b)(1) is</w:t>
            </w:r>
            <w:r w:rsidR="007D616E">
              <w:rPr>
                <w:rFonts w:ascii="Calibri" w:hAnsi="Calibri" w:cs="Calibri"/>
                <w:color w:val="000000"/>
              </w:rPr>
              <w:t xml:space="preserve"> </w:t>
            </w:r>
            <w:r>
              <w:rPr>
                <w:rFonts w:ascii="Calibri" w:hAnsi="Calibri" w:cs="Calibri"/>
                <w:color w:val="000000"/>
              </w:rPr>
              <w:t>completed with "any Government."  Subparagraph (b)(2) is</w:t>
            </w:r>
            <w:r w:rsidR="007D616E">
              <w:rPr>
                <w:rFonts w:ascii="Calibri" w:hAnsi="Calibri" w:cs="Calibri"/>
                <w:color w:val="000000"/>
              </w:rPr>
              <w:t xml:space="preserve"> </w:t>
            </w:r>
            <w:r>
              <w:rPr>
                <w:rFonts w:ascii="Calibri" w:hAnsi="Calibri" w:cs="Calibri"/>
                <w:color w:val="000000"/>
              </w:rPr>
              <w:t>deleted.</w:t>
            </w:r>
          </w:p>
        </w:tc>
      </w:tr>
      <w:tr w:rsidR="00C64323" w:rsidRPr="0099147E" w14:paraId="61168328" w14:textId="77777777" w:rsidTr="00360BC7">
        <w:trPr>
          <w:trHeight w:val="260"/>
        </w:trPr>
        <w:tc>
          <w:tcPr>
            <w:tcW w:w="805" w:type="dxa"/>
            <w:shd w:val="clear" w:color="auto" w:fill="D5DCE4" w:themeFill="text2" w:themeFillTint="33"/>
            <w:vAlign w:val="bottom"/>
          </w:tcPr>
          <w:p w14:paraId="06747ED6" w14:textId="553DFE90"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3E328513" w14:textId="465BCEC0"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252.225-7036 </w:t>
            </w:r>
          </w:p>
        </w:tc>
        <w:tc>
          <w:tcPr>
            <w:tcW w:w="2967" w:type="dxa"/>
            <w:shd w:val="clear" w:color="auto" w:fill="D5DCE4" w:themeFill="text2" w:themeFillTint="33"/>
            <w:vAlign w:val="bottom"/>
          </w:tcPr>
          <w:p w14:paraId="3327FF9F" w14:textId="3FBE745F"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Buy American-Free Trade Agreements--Balance of Payments Program.</w:t>
            </w:r>
          </w:p>
        </w:tc>
        <w:tc>
          <w:tcPr>
            <w:tcW w:w="960" w:type="dxa"/>
            <w:noWrap/>
            <w:vAlign w:val="bottom"/>
          </w:tcPr>
          <w:p w14:paraId="208648CF" w14:textId="204B126C"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12/1/2017</w:t>
            </w:r>
          </w:p>
        </w:tc>
        <w:tc>
          <w:tcPr>
            <w:tcW w:w="3088" w:type="dxa"/>
            <w:vAlign w:val="bottom"/>
          </w:tcPr>
          <w:p w14:paraId="5AA40311" w14:textId="77777777" w:rsidR="00C64323" w:rsidRPr="0099147E" w:rsidRDefault="00C64323" w:rsidP="00C64323">
            <w:pPr>
              <w:rPr>
                <w:rFonts w:ascii="Arial Narrow" w:eastAsia="Times New Roman" w:hAnsi="Arial Narrow" w:cs="Times New Roman"/>
                <w:color w:val="000000"/>
                <w:sz w:val="20"/>
                <w:szCs w:val="20"/>
              </w:rPr>
            </w:pPr>
          </w:p>
        </w:tc>
      </w:tr>
      <w:tr w:rsidR="00C64323" w:rsidRPr="0099147E" w14:paraId="07260E69" w14:textId="77777777" w:rsidTr="00360BC7">
        <w:trPr>
          <w:trHeight w:val="260"/>
        </w:trPr>
        <w:tc>
          <w:tcPr>
            <w:tcW w:w="805" w:type="dxa"/>
            <w:shd w:val="clear" w:color="auto" w:fill="D5DCE4" w:themeFill="text2" w:themeFillTint="33"/>
            <w:vAlign w:val="bottom"/>
          </w:tcPr>
          <w:p w14:paraId="7C520A4C" w14:textId="4B177FEE" w:rsidR="00C64323" w:rsidRDefault="00C64323" w:rsidP="00C64323">
            <w:pPr>
              <w:rPr>
                <w:rFonts w:ascii="Calibri" w:hAnsi="Calibri" w:cs="Calibri"/>
                <w:color w:val="000000"/>
              </w:rPr>
            </w:pPr>
            <w:r>
              <w:rPr>
                <w:rFonts w:ascii="Calibri" w:hAnsi="Calibri" w:cs="Calibri"/>
                <w:color w:val="000000"/>
              </w:rPr>
              <w:t>FAR</w:t>
            </w:r>
          </w:p>
        </w:tc>
        <w:tc>
          <w:tcPr>
            <w:tcW w:w="1530" w:type="dxa"/>
            <w:shd w:val="clear" w:color="auto" w:fill="D5DCE4" w:themeFill="text2" w:themeFillTint="33"/>
            <w:noWrap/>
            <w:vAlign w:val="bottom"/>
          </w:tcPr>
          <w:p w14:paraId="72620E80" w14:textId="5F93A1AE"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52.230-2 </w:t>
            </w:r>
          </w:p>
        </w:tc>
        <w:tc>
          <w:tcPr>
            <w:tcW w:w="2967" w:type="dxa"/>
            <w:shd w:val="clear" w:color="auto" w:fill="D5DCE4" w:themeFill="text2" w:themeFillTint="33"/>
            <w:vAlign w:val="bottom"/>
          </w:tcPr>
          <w:p w14:paraId="36D33F4F" w14:textId="08832992"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Cost Accounting Standards.</w:t>
            </w:r>
          </w:p>
        </w:tc>
        <w:tc>
          <w:tcPr>
            <w:tcW w:w="960" w:type="dxa"/>
            <w:noWrap/>
            <w:vAlign w:val="bottom"/>
          </w:tcPr>
          <w:p w14:paraId="61308872" w14:textId="7B0E6C42"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10/1/2015</w:t>
            </w:r>
          </w:p>
        </w:tc>
        <w:tc>
          <w:tcPr>
            <w:tcW w:w="3088" w:type="dxa"/>
            <w:vAlign w:val="bottom"/>
          </w:tcPr>
          <w:p w14:paraId="1DEF79F3" w14:textId="77777777" w:rsidR="00C64323" w:rsidRPr="0099147E" w:rsidRDefault="00C64323" w:rsidP="00C64323">
            <w:pPr>
              <w:rPr>
                <w:rFonts w:ascii="Arial Narrow" w:eastAsia="Times New Roman" w:hAnsi="Arial Narrow" w:cs="Times New Roman"/>
                <w:color w:val="000000"/>
                <w:sz w:val="20"/>
                <w:szCs w:val="20"/>
              </w:rPr>
            </w:pPr>
          </w:p>
        </w:tc>
      </w:tr>
      <w:tr w:rsidR="00C64323" w:rsidRPr="0099147E" w14:paraId="5E99AFF1" w14:textId="77777777" w:rsidTr="00360BC7">
        <w:trPr>
          <w:trHeight w:val="260"/>
        </w:trPr>
        <w:tc>
          <w:tcPr>
            <w:tcW w:w="805" w:type="dxa"/>
            <w:shd w:val="clear" w:color="auto" w:fill="D5DCE4" w:themeFill="text2" w:themeFillTint="33"/>
            <w:vAlign w:val="bottom"/>
          </w:tcPr>
          <w:p w14:paraId="755C0401" w14:textId="3DAE7058" w:rsidR="00C64323" w:rsidRDefault="00C64323" w:rsidP="00C64323">
            <w:pPr>
              <w:rPr>
                <w:rFonts w:ascii="Calibri" w:hAnsi="Calibri" w:cs="Calibri"/>
                <w:color w:val="000000"/>
              </w:rPr>
            </w:pPr>
            <w:r>
              <w:rPr>
                <w:rFonts w:ascii="Calibri" w:hAnsi="Calibri" w:cs="Calibri"/>
                <w:color w:val="000000"/>
              </w:rPr>
              <w:t>FAR</w:t>
            </w:r>
          </w:p>
        </w:tc>
        <w:tc>
          <w:tcPr>
            <w:tcW w:w="1530" w:type="dxa"/>
            <w:shd w:val="clear" w:color="auto" w:fill="D5DCE4" w:themeFill="text2" w:themeFillTint="33"/>
            <w:noWrap/>
            <w:vAlign w:val="bottom"/>
          </w:tcPr>
          <w:p w14:paraId="66128296" w14:textId="6818BB87"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52.245-1ALT I</w:t>
            </w:r>
          </w:p>
        </w:tc>
        <w:tc>
          <w:tcPr>
            <w:tcW w:w="2967" w:type="dxa"/>
            <w:shd w:val="clear" w:color="auto" w:fill="D5DCE4" w:themeFill="text2" w:themeFillTint="33"/>
            <w:vAlign w:val="bottom"/>
          </w:tcPr>
          <w:p w14:paraId="6F28A7CE" w14:textId="2ADE7D56"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Government Property.</w:t>
            </w:r>
          </w:p>
        </w:tc>
        <w:tc>
          <w:tcPr>
            <w:tcW w:w="960" w:type="dxa"/>
            <w:noWrap/>
            <w:vAlign w:val="bottom"/>
          </w:tcPr>
          <w:p w14:paraId="05BA7895" w14:textId="735C1490"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4/1/2012</w:t>
            </w:r>
          </w:p>
        </w:tc>
        <w:tc>
          <w:tcPr>
            <w:tcW w:w="3088" w:type="dxa"/>
            <w:vAlign w:val="bottom"/>
          </w:tcPr>
          <w:p w14:paraId="5DB0B196" w14:textId="77777777" w:rsidR="00C64323" w:rsidRPr="0099147E" w:rsidRDefault="00C64323" w:rsidP="00C64323">
            <w:pPr>
              <w:rPr>
                <w:rFonts w:ascii="Arial Narrow" w:eastAsia="Times New Roman" w:hAnsi="Arial Narrow" w:cs="Times New Roman"/>
                <w:color w:val="000000"/>
                <w:sz w:val="20"/>
                <w:szCs w:val="20"/>
              </w:rPr>
            </w:pPr>
          </w:p>
        </w:tc>
      </w:tr>
      <w:tr w:rsidR="00C64323" w:rsidRPr="0099147E" w14:paraId="1D028828" w14:textId="77777777" w:rsidTr="00360BC7">
        <w:trPr>
          <w:trHeight w:val="260"/>
        </w:trPr>
        <w:tc>
          <w:tcPr>
            <w:tcW w:w="805" w:type="dxa"/>
            <w:shd w:val="clear" w:color="auto" w:fill="D5DCE4" w:themeFill="text2" w:themeFillTint="33"/>
            <w:vAlign w:val="bottom"/>
          </w:tcPr>
          <w:p w14:paraId="09E037AB" w14:textId="17DF28E6"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79C45C61" w14:textId="6730C6E2"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252.243-7002 </w:t>
            </w:r>
          </w:p>
        </w:tc>
        <w:tc>
          <w:tcPr>
            <w:tcW w:w="2967" w:type="dxa"/>
            <w:shd w:val="clear" w:color="auto" w:fill="D5DCE4" w:themeFill="text2" w:themeFillTint="33"/>
            <w:vAlign w:val="bottom"/>
          </w:tcPr>
          <w:p w14:paraId="7D18FD74" w14:textId="347B2808"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c>
          <w:tcPr>
            <w:tcW w:w="960" w:type="dxa"/>
            <w:noWrap/>
            <w:vAlign w:val="bottom"/>
          </w:tcPr>
          <w:p w14:paraId="42C05409" w14:textId="2E8DCA6E"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12/1/2012</w:t>
            </w:r>
          </w:p>
        </w:tc>
        <w:tc>
          <w:tcPr>
            <w:tcW w:w="3088" w:type="dxa"/>
            <w:vAlign w:val="bottom"/>
          </w:tcPr>
          <w:p w14:paraId="6764B1B6" w14:textId="139FF770"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"Government" means "Lockheed</w:t>
            </w:r>
            <w:r w:rsidR="007D616E">
              <w:rPr>
                <w:rFonts w:ascii="Calibri" w:hAnsi="Calibri" w:cs="Calibri"/>
                <w:color w:val="000000"/>
              </w:rPr>
              <w:t xml:space="preserve"> </w:t>
            </w:r>
            <w:r>
              <w:rPr>
                <w:rFonts w:ascii="Calibri" w:hAnsi="Calibri" w:cs="Calibri"/>
                <w:color w:val="000000"/>
              </w:rPr>
              <w:t>Martin."</w:t>
            </w:r>
          </w:p>
        </w:tc>
      </w:tr>
      <w:tr w:rsidR="00C64323" w:rsidRPr="0099147E" w14:paraId="46A27FEE" w14:textId="77777777" w:rsidTr="00360BC7">
        <w:trPr>
          <w:trHeight w:val="260"/>
        </w:trPr>
        <w:tc>
          <w:tcPr>
            <w:tcW w:w="805" w:type="dxa"/>
            <w:shd w:val="clear" w:color="auto" w:fill="D5DCE4" w:themeFill="text2" w:themeFillTint="33"/>
            <w:vAlign w:val="bottom"/>
          </w:tcPr>
          <w:p w14:paraId="574C343D" w14:textId="554AC94E"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217CEB98" w14:textId="3119A32F"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252.244-7000 </w:t>
            </w:r>
          </w:p>
        </w:tc>
        <w:tc>
          <w:tcPr>
            <w:tcW w:w="2967" w:type="dxa"/>
            <w:shd w:val="clear" w:color="auto" w:fill="D5DCE4" w:themeFill="text2" w:themeFillTint="33"/>
            <w:vAlign w:val="bottom"/>
          </w:tcPr>
          <w:p w14:paraId="5066DB1E" w14:textId="73BB81EF"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Subcontracts for Commercial Items.</w:t>
            </w:r>
          </w:p>
        </w:tc>
        <w:tc>
          <w:tcPr>
            <w:tcW w:w="960" w:type="dxa"/>
            <w:noWrap/>
            <w:vAlign w:val="bottom"/>
          </w:tcPr>
          <w:p w14:paraId="14F0F0E2" w14:textId="109BAA04"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6/1/2013</w:t>
            </w:r>
          </w:p>
        </w:tc>
        <w:tc>
          <w:tcPr>
            <w:tcW w:w="3088" w:type="dxa"/>
            <w:vAlign w:val="bottom"/>
          </w:tcPr>
          <w:p w14:paraId="7A55BF8D" w14:textId="0939DD25"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None.</w:t>
            </w:r>
          </w:p>
        </w:tc>
      </w:tr>
      <w:tr w:rsidR="00C64323" w:rsidRPr="0099147E" w14:paraId="01948814" w14:textId="77777777" w:rsidTr="00360BC7">
        <w:trPr>
          <w:trHeight w:val="260"/>
        </w:trPr>
        <w:tc>
          <w:tcPr>
            <w:tcW w:w="805" w:type="dxa"/>
            <w:shd w:val="clear" w:color="auto" w:fill="D5DCE4" w:themeFill="text2" w:themeFillTint="33"/>
            <w:vAlign w:val="bottom"/>
          </w:tcPr>
          <w:p w14:paraId="3574C088" w14:textId="3F96007D"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5B0AE61D" w14:textId="789DA103"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252.246-7006 </w:t>
            </w:r>
          </w:p>
        </w:tc>
        <w:tc>
          <w:tcPr>
            <w:tcW w:w="2967" w:type="dxa"/>
            <w:shd w:val="clear" w:color="auto" w:fill="D5DCE4" w:themeFill="text2" w:themeFillTint="33"/>
            <w:vAlign w:val="bottom"/>
          </w:tcPr>
          <w:p w14:paraId="4C2AD607" w14:textId="7B74B584"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Warranty Tracking of Serialized Items.</w:t>
            </w:r>
          </w:p>
        </w:tc>
        <w:tc>
          <w:tcPr>
            <w:tcW w:w="960" w:type="dxa"/>
            <w:noWrap/>
            <w:vAlign w:val="bottom"/>
          </w:tcPr>
          <w:p w14:paraId="2261AF2C" w14:textId="3ED61CF1"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3/1/2016</w:t>
            </w:r>
          </w:p>
        </w:tc>
        <w:tc>
          <w:tcPr>
            <w:tcW w:w="3088" w:type="dxa"/>
            <w:vAlign w:val="bottom"/>
          </w:tcPr>
          <w:p w14:paraId="188A02A7" w14:textId="0BE58825"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N/A.</w:t>
            </w:r>
          </w:p>
        </w:tc>
      </w:tr>
      <w:tr w:rsidR="00C64323" w:rsidRPr="0099147E" w14:paraId="04C4612A" w14:textId="77777777" w:rsidTr="00360BC7">
        <w:trPr>
          <w:trHeight w:val="260"/>
        </w:trPr>
        <w:tc>
          <w:tcPr>
            <w:tcW w:w="805" w:type="dxa"/>
            <w:shd w:val="clear" w:color="auto" w:fill="D5DCE4" w:themeFill="text2" w:themeFillTint="33"/>
            <w:vAlign w:val="bottom"/>
          </w:tcPr>
          <w:p w14:paraId="211507F8" w14:textId="5236D59E" w:rsidR="00C64323" w:rsidRDefault="00C64323" w:rsidP="00C64323">
            <w:pPr>
              <w:rPr>
                <w:rFonts w:ascii="Calibri" w:hAnsi="Calibri" w:cs="Calibri"/>
                <w:color w:val="000000"/>
              </w:rPr>
            </w:pPr>
            <w:r>
              <w:rPr>
                <w:rFonts w:ascii="Calibri" w:hAnsi="Calibri" w:cs="Calibri"/>
                <w:color w:val="000000"/>
              </w:rPr>
              <w:lastRenderedPageBreak/>
              <w:t>DFARS</w:t>
            </w:r>
          </w:p>
        </w:tc>
        <w:tc>
          <w:tcPr>
            <w:tcW w:w="1530" w:type="dxa"/>
            <w:shd w:val="clear" w:color="auto" w:fill="D5DCE4" w:themeFill="text2" w:themeFillTint="33"/>
            <w:noWrap/>
            <w:vAlign w:val="bottom"/>
          </w:tcPr>
          <w:p w14:paraId="3EDF8471" w14:textId="1CADED09"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252.246-7007 </w:t>
            </w:r>
          </w:p>
        </w:tc>
        <w:tc>
          <w:tcPr>
            <w:tcW w:w="2967" w:type="dxa"/>
            <w:shd w:val="clear" w:color="auto" w:fill="D5DCE4" w:themeFill="text2" w:themeFillTint="33"/>
            <w:vAlign w:val="bottom"/>
          </w:tcPr>
          <w:p w14:paraId="1FE8CA9B" w14:textId="4764875B"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Contractor Counterfeit Electronic Part Detection and Avoidance System.</w:t>
            </w:r>
          </w:p>
        </w:tc>
        <w:tc>
          <w:tcPr>
            <w:tcW w:w="960" w:type="dxa"/>
            <w:noWrap/>
            <w:vAlign w:val="bottom"/>
          </w:tcPr>
          <w:p w14:paraId="40B150D5" w14:textId="372119F3"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8/1/2016</w:t>
            </w:r>
          </w:p>
        </w:tc>
        <w:tc>
          <w:tcPr>
            <w:tcW w:w="3088" w:type="dxa"/>
            <w:vAlign w:val="bottom"/>
          </w:tcPr>
          <w:p w14:paraId="6D76E1E1" w14:textId="7FA4B3A7"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Paragraph (a) through (e) apply. To the extent this clause conflicts with other provisions of this contract, this clause shall prevail. In paragraph (c)(2) "Government" means "Lockheed Martin and the Government." In paragraph (c)(6) "Contracting Officer" means "Lockheed Martin and the Contracting Officer."</w:t>
            </w:r>
          </w:p>
        </w:tc>
      </w:tr>
      <w:tr w:rsidR="00C64323" w:rsidRPr="0099147E" w14:paraId="38934081" w14:textId="77777777" w:rsidTr="00360BC7">
        <w:trPr>
          <w:trHeight w:val="260"/>
        </w:trPr>
        <w:tc>
          <w:tcPr>
            <w:tcW w:w="805" w:type="dxa"/>
            <w:shd w:val="clear" w:color="auto" w:fill="D5DCE4" w:themeFill="text2" w:themeFillTint="33"/>
            <w:vAlign w:val="bottom"/>
          </w:tcPr>
          <w:p w14:paraId="70D3FE63" w14:textId="576B358E"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0FD31F51" w14:textId="46F266C5"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252.246-7008 </w:t>
            </w:r>
          </w:p>
        </w:tc>
        <w:tc>
          <w:tcPr>
            <w:tcW w:w="2967" w:type="dxa"/>
            <w:shd w:val="clear" w:color="auto" w:fill="D5DCE4" w:themeFill="text2" w:themeFillTint="33"/>
            <w:vAlign w:val="bottom"/>
          </w:tcPr>
          <w:p w14:paraId="316529F0" w14:textId="76A99861"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Sources of Electronic Parts.</w:t>
            </w:r>
          </w:p>
        </w:tc>
        <w:tc>
          <w:tcPr>
            <w:tcW w:w="960" w:type="dxa"/>
            <w:noWrap/>
            <w:vAlign w:val="bottom"/>
          </w:tcPr>
          <w:p w14:paraId="1106A8EB" w14:textId="0BED554C"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5/1/2018</w:t>
            </w:r>
          </w:p>
        </w:tc>
        <w:tc>
          <w:tcPr>
            <w:tcW w:w="3088" w:type="dxa"/>
            <w:vAlign w:val="bottom"/>
          </w:tcPr>
          <w:p w14:paraId="478AF2D9" w14:textId="6C8D010E"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Applies if this contract is for electronic parts or assemblies containing electronic parts, unless Seller is the original manufacturer. As used in the clause, "Contracting Officer" means "Lockheed Martin and the Contracting Officer. "The term "Government" means "Lockheed Martin and the Government" except in paragraph (d).</w:t>
            </w:r>
          </w:p>
        </w:tc>
      </w:tr>
      <w:tr w:rsidR="00C64323" w:rsidRPr="0099147E" w14:paraId="6BDF8703" w14:textId="77777777" w:rsidTr="00360BC7">
        <w:trPr>
          <w:trHeight w:val="260"/>
        </w:trPr>
        <w:tc>
          <w:tcPr>
            <w:tcW w:w="805" w:type="dxa"/>
            <w:shd w:val="clear" w:color="auto" w:fill="D5DCE4" w:themeFill="text2" w:themeFillTint="33"/>
            <w:vAlign w:val="bottom"/>
          </w:tcPr>
          <w:p w14:paraId="46C71035" w14:textId="5C5D79C4" w:rsidR="00C64323" w:rsidRDefault="00C64323" w:rsidP="00C64323">
            <w:pPr>
              <w:rPr>
                <w:rFonts w:ascii="Calibri" w:hAnsi="Calibri" w:cs="Calibri"/>
                <w:color w:val="000000"/>
              </w:rPr>
            </w:pPr>
            <w:r>
              <w:rPr>
                <w:rFonts w:ascii="Calibri" w:hAnsi="Calibri" w:cs="Calibri"/>
                <w:color w:val="000000"/>
              </w:rPr>
              <w:t>FAR</w:t>
            </w:r>
          </w:p>
        </w:tc>
        <w:tc>
          <w:tcPr>
            <w:tcW w:w="1530" w:type="dxa"/>
            <w:shd w:val="clear" w:color="auto" w:fill="D5DCE4" w:themeFill="text2" w:themeFillTint="33"/>
            <w:noWrap/>
            <w:vAlign w:val="bottom"/>
          </w:tcPr>
          <w:p w14:paraId="5DC596E5" w14:textId="09154B1E"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52.225-3 </w:t>
            </w:r>
          </w:p>
        </w:tc>
        <w:tc>
          <w:tcPr>
            <w:tcW w:w="2967" w:type="dxa"/>
            <w:shd w:val="clear" w:color="auto" w:fill="D5DCE4" w:themeFill="text2" w:themeFillTint="33"/>
            <w:vAlign w:val="bottom"/>
          </w:tcPr>
          <w:p w14:paraId="003AC0A3" w14:textId="6347B7C6"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Buy American-Free Trade Agreements-Israeli Trade Act.</w:t>
            </w:r>
          </w:p>
        </w:tc>
        <w:tc>
          <w:tcPr>
            <w:tcW w:w="960" w:type="dxa"/>
            <w:noWrap/>
            <w:vAlign w:val="bottom"/>
          </w:tcPr>
          <w:p w14:paraId="68FCE0D7" w14:textId="2AEE0C2B"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5/1/2014</w:t>
            </w:r>
          </w:p>
        </w:tc>
        <w:tc>
          <w:tcPr>
            <w:tcW w:w="3088" w:type="dxa"/>
            <w:vAlign w:val="bottom"/>
          </w:tcPr>
          <w:p w14:paraId="484A77B7" w14:textId="786E6BCC"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None.</w:t>
            </w:r>
          </w:p>
        </w:tc>
      </w:tr>
      <w:tr w:rsidR="00C64323" w:rsidRPr="0099147E" w14:paraId="035480B0" w14:textId="77777777" w:rsidTr="00360BC7">
        <w:trPr>
          <w:trHeight w:val="260"/>
        </w:trPr>
        <w:tc>
          <w:tcPr>
            <w:tcW w:w="805" w:type="dxa"/>
            <w:shd w:val="clear" w:color="auto" w:fill="D5DCE4" w:themeFill="text2" w:themeFillTint="33"/>
            <w:vAlign w:val="bottom"/>
          </w:tcPr>
          <w:p w14:paraId="701013BF" w14:textId="10EF7B7E" w:rsidR="00C64323" w:rsidRDefault="00C64323" w:rsidP="00C64323">
            <w:pPr>
              <w:rPr>
                <w:rFonts w:ascii="Calibri" w:hAnsi="Calibri" w:cs="Calibri"/>
                <w:color w:val="000000"/>
              </w:rPr>
            </w:pPr>
            <w:r>
              <w:rPr>
                <w:rFonts w:ascii="Calibri" w:hAnsi="Calibri" w:cs="Calibri"/>
                <w:color w:val="000000"/>
              </w:rPr>
              <w:t>DFARS</w:t>
            </w:r>
          </w:p>
        </w:tc>
        <w:tc>
          <w:tcPr>
            <w:tcW w:w="1530" w:type="dxa"/>
            <w:shd w:val="clear" w:color="auto" w:fill="D5DCE4" w:themeFill="text2" w:themeFillTint="33"/>
            <w:noWrap/>
            <w:vAlign w:val="bottom"/>
          </w:tcPr>
          <w:p w14:paraId="33D27E20" w14:textId="4E615016"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252.217-7026 </w:t>
            </w:r>
          </w:p>
        </w:tc>
        <w:tc>
          <w:tcPr>
            <w:tcW w:w="2967" w:type="dxa"/>
            <w:shd w:val="clear" w:color="auto" w:fill="D5DCE4" w:themeFill="text2" w:themeFillTint="33"/>
            <w:vAlign w:val="bottom"/>
          </w:tcPr>
          <w:p w14:paraId="2D3D4F4B" w14:textId="51620E8E"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Identification of Sources of Supply.</w:t>
            </w:r>
          </w:p>
        </w:tc>
        <w:tc>
          <w:tcPr>
            <w:tcW w:w="960" w:type="dxa"/>
            <w:noWrap/>
            <w:vAlign w:val="bottom"/>
          </w:tcPr>
          <w:p w14:paraId="2417B688" w14:textId="09559302"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11/1/1995</w:t>
            </w:r>
          </w:p>
        </w:tc>
        <w:tc>
          <w:tcPr>
            <w:tcW w:w="3088" w:type="dxa"/>
            <w:vAlign w:val="bottom"/>
          </w:tcPr>
          <w:p w14:paraId="3CC2416B" w14:textId="3F2A58BC"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The information required by this     clause is limited to the identification of those items procured from lower     tier sources where Contractor will provide those items as separate end items     to Lockheed Martin. Items which are included as components of end     items delivered by Contractor to Lockheed Martin do not need to be     identified.</w:t>
            </w:r>
          </w:p>
        </w:tc>
      </w:tr>
      <w:tr w:rsidR="00C64323" w:rsidRPr="0099147E" w14:paraId="3E053715" w14:textId="77777777" w:rsidTr="00360BC7">
        <w:trPr>
          <w:trHeight w:val="260"/>
        </w:trPr>
        <w:tc>
          <w:tcPr>
            <w:tcW w:w="805" w:type="dxa"/>
            <w:shd w:val="clear" w:color="auto" w:fill="D5DCE4" w:themeFill="text2" w:themeFillTint="33"/>
            <w:vAlign w:val="bottom"/>
          </w:tcPr>
          <w:p w14:paraId="3CF75147" w14:textId="064A487E" w:rsidR="00C64323" w:rsidRDefault="00C64323" w:rsidP="00C64323">
            <w:pPr>
              <w:rPr>
                <w:rFonts w:ascii="Calibri" w:hAnsi="Calibri" w:cs="Calibri"/>
                <w:color w:val="000000"/>
              </w:rPr>
            </w:pPr>
            <w:r>
              <w:rPr>
                <w:rFonts w:ascii="Calibri" w:hAnsi="Calibri" w:cs="Calibri"/>
                <w:color w:val="000000"/>
              </w:rPr>
              <w:t>FAR</w:t>
            </w:r>
          </w:p>
        </w:tc>
        <w:tc>
          <w:tcPr>
            <w:tcW w:w="1530" w:type="dxa"/>
            <w:shd w:val="clear" w:color="auto" w:fill="D5DCE4" w:themeFill="text2" w:themeFillTint="33"/>
            <w:noWrap/>
            <w:vAlign w:val="bottom"/>
          </w:tcPr>
          <w:p w14:paraId="76F5DFB0" w14:textId="6ACBBDD9"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52.222-50 ALT I </w:t>
            </w:r>
          </w:p>
        </w:tc>
        <w:tc>
          <w:tcPr>
            <w:tcW w:w="2967" w:type="dxa"/>
            <w:shd w:val="clear" w:color="auto" w:fill="D5DCE4" w:themeFill="text2" w:themeFillTint="33"/>
            <w:vAlign w:val="bottom"/>
          </w:tcPr>
          <w:p w14:paraId="51936D67" w14:textId="39D53F71"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Alternate I - Combating Trafficking in Persons.</w:t>
            </w:r>
          </w:p>
        </w:tc>
        <w:tc>
          <w:tcPr>
            <w:tcW w:w="960" w:type="dxa"/>
            <w:noWrap/>
            <w:vAlign w:val="bottom"/>
          </w:tcPr>
          <w:p w14:paraId="1FD8FC09" w14:textId="32F56ED9"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3/1/2015</w:t>
            </w:r>
          </w:p>
        </w:tc>
        <w:tc>
          <w:tcPr>
            <w:tcW w:w="3088" w:type="dxa"/>
            <w:vAlign w:val="bottom"/>
          </w:tcPr>
          <w:p w14:paraId="6249A329" w14:textId="77777777" w:rsidR="00C64323" w:rsidRPr="0099147E" w:rsidRDefault="00C64323" w:rsidP="00C64323">
            <w:pPr>
              <w:rPr>
                <w:rFonts w:ascii="Arial Narrow" w:eastAsia="Times New Roman" w:hAnsi="Arial Narrow" w:cs="Times New Roman"/>
                <w:color w:val="000000"/>
                <w:sz w:val="20"/>
                <w:szCs w:val="20"/>
              </w:rPr>
            </w:pPr>
          </w:p>
        </w:tc>
      </w:tr>
      <w:tr w:rsidR="00C64323" w:rsidRPr="0099147E" w14:paraId="4D3DCEE4" w14:textId="77777777" w:rsidTr="00360BC7">
        <w:trPr>
          <w:trHeight w:val="260"/>
        </w:trPr>
        <w:tc>
          <w:tcPr>
            <w:tcW w:w="805" w:type="dxa"/>
            <w:shd w:val="clear" w:color="auto" w:fill="D5DCE4" w:themeFill="text2" w:themeFillTint="33"/>
            <w:vAlign w:val="bottom"/>
          </w:tcPr>
          <w:p w14:paraId="58226A41" w14:textId="253F10E4" w:rsidR="00C64323" w:rsidRDefault="00C64323" w:rsidP="00C64323">
            <w:pPr>
              <w:rPr>
                <w:rFonts w:ascii="Calibri" w:hAnsi="Calibri" w:cs="Calibri"/>
                <w:color w:val="000000"/>
              </w:rPr>
            </w:pPr>
            <w:r>
              <w:rPr>
                <w:rFonts w:ascii="Calibri" w:hAnsi="Calibri" w:cs="Calibri"/>
                <w:color w:val="000000"/>
              </w:rPr>
              <w:t>FAR</w:t>
            </w:r>
          </w:p>
        </w:tc>
        <w:tc>
          <w:tcPr>
            <w:tcW w:w="1530" w:type="dxa"/>
            <w:shd w:val="clear" w:color="auto" w:fill="D5DCE4" w:themeFill="text2" w:themeFillTint="33"/>
            <w:noWrap/>
            <w:vAlign w:val="bottom"/>
          </w:tcPr>
          <w:p w14:paraId="3B532C56" w14:textId="7F77B365"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52.222-55 </w:t>
            </w:r>
          </w:p>
        </w:tc>
        <w:tc>
          <w:tcPr>
            <w:tcW w:w="2967" w:type="dxa"/>
            <w:shd w:val="clear" w:color="auto" w:fill="D5DCE4" w:themeFill="text2" w:themeFillTint="33"/>
            <w:vAlign w:val="bottom"/>
          </w:tcPr>
          <w:p w14:paraId="00D8A83A" w14:textId="44EFB46F"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Minimum Wages Under Executive Order 13658.</w:t>
            </w:r>
          </w:p>
        </w:tc>
        <w:tc>
          <w:tcPr>
            <w:tcW w:w="960" w:type="dxa"/>
            <w:noWrap/>
            <w:vAlign w:val="bottom"/>
          </w:tcPr>
          <w:p w14:paraId="12BA6967" w14:textId="0CAA3A60"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12/1/2015</w:t>
            </w:r>
          </w:p>
        </w:tc>
        <w:tc>
          <w:tcPr>
            <w:tcW w:w="3088" w:type="dxa"/>
            <w:vAlign w:val="bottom"/>
          </w:tcPr>
          <w:p w14:paraId="146A4DF8" w14:textId="77777777" w:rsidR="00C64323" w:rsidRPr="0099147E" w:rsidRDefault="00C64323" w:rsidP="00C64323">
            <w:pPr>
              <w:rPr>
                <w:rFonts w:ascii="Arial Narrow" w:eastAsia="Times New Roman" w:hAnsi="Arial Narrow" w:cs="Times New Roman"/>
                <w:color w:val="000000"/>
                <w:sz w:val="20"/>
                <w:szCs w:val="20"/>
              </w:rPr>
            </w:pPr>
          </w:p>
        </w:tc>
      </w:tr>
      <w:tr w:rsidR="00C64323" w:rsidRPr="0099147E" w14:paraId="533C0784" w14:textId="77777777" w:rsidTr="00360BC7">
        <w:trPr>
          <w:trHeight w:val="260"/>
        </w:trPr>
        <w:tc>
          <w:tcPr>
            <w:tcW w:w="805" w:type="dxa"/>
            <w:shd w:val="clear" w:color="auto" w:fill="D5DCE4" w:themeFill="text2" w:themeFillTint="33"/>
            <w:vAlign w:val="bottom"/>
          </w:tcPr>
          <w:p w14:paraId="6A34AAE0" w14:textId="2E2A2F37" w:rsidR="00C64323" w:rsidRDefault="00C64323" w:rsidP="00C64323">
            <w:pPr>
              <w:rPr>
                <w:rFonts w:ascii="Calibri" w:hAnsi="Calibri" w:cs="Calibri"/>
                <w:color w:val="000000"/>
              </w:rPr>
            </w:pPr>
            <w:r>
              <w:rPr>
                <w:rFonts w:ascii="Calibri" w:hAnsi="Calibri" w:cs="Calibri"/>
                <w:color w:val="000000"/>
              </w:rPr>
              <w:t>FAR</w:t>
            </w:r>
          </w:p>
        </w:tc>
        <w:tc>
          <w:tcPr>
            <w:tcW w:w="1530" w:type="dxa"/>
            <w:shd w:val="clear" w:color="auto" w:fill="D5DCE4" w:themeFill="text2" w:themeFillTint="33"/>
            <w:noWrap/>
            <w:vAlign w:val="bottom"/>
          </w:tcPr>
          <w:p w14:paraId="018C4798" w14:textId="23621ED5"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52.223-15 </w:t>
            </w:r>
          </w:p>
        </w:tc>
        <w:tc>
          <w:tcPr>
            <w:tcW w:w="2967" w:type="dxa"/>
            <w:shd w:val="clear" w:color="auto" w:fill="D5DCE4" w:themeFill="text2" w:themeFillTint="33"/>
            <w:vAlign w:val="bottom"/>
          </w:tcPr>
          <w:p w14:paraId="7DA33B20" w14:textId="3AE9CCC2"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Energy Efficiency in Energy-Consuming Products.</w:t>
            </w:r>
          </w:p>
        </w:tc>
        <w:tc>
          <w:tcPr>
            <w:tcW w:w="960" w:type="dxa"/>
            <w:noWrap/>
            <w:vAlign w:val="bottom"/>
          </w:tcPr>
          <w:p w14:paraId="7A204192" w14:textId="798E298C"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5/1/2020</w:t>
            </w:r>
          </w:p>
        </w:tc>
        <w:tc>
          <w:tcPr>
            <w:tcW w:w="3088" w:type="dxa"/>
            <w:vAlign w:val="bottom"/>
          </w:tcPr>
          <w:p w14:paraId="428068AA" w14:textId="569B063A"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N/A.</w:t>
            </w:r>
          </w:p>
        </w:tc>
      </w:tr>
      <w:tr w:rsidR="00C64323" w:rsidRPr="0099147E" w14:paraId="1831E47B" w14:textId="77777777" w:rsidTr="00360BC7">
        <w:trPr>
          <w:trHeight w:val="260"/>
        </w:trPr>
        <w:tc>
          <w:tcPr>
            <w:tcW w:w="805" w:type="dxa"/>
            <w:shd w:val="clear" w:color="auto" w:fill="D5DCE4" w:themeFill="text2" w:themeFillTint="33"/>
            <w:vAlign w:val="bottom"/>
          </w:tcPr>
          <w:p w14:paraId="0BE1E0CC" w14:textId="0645A0A8" w:rsidR="00C64323" w:rsidRDefault="00C64323" w:rsidP="00C64323">
            <w:pPr>
              <w:rPr>
                <w:rFonts w:ascii="Calibri" w:hAnsi="Calibri" w:cs="Calibri"/>
                <w:color w:val="000000"/>
              </w:rPr>
            </w:pPr>
            <w:r>
              <w:rPr>
                <w:rFonts w:ascii="Calibri" w:hAnsi="Calibri" w:cs="Calibri"/>
                <w:color w:val="000000"/>
              </w:rPr>
              <w:t>FAR</w:t>
            </w:r>
          </w:p>
        </w:tc>
        <w:tc>
          <w:tcPr>
            <w:tcW w:w="1530" w:type="dxa"/>
            <w:shd w:val="clear" w:color="auto" w:fill="D5DCE4" w:themeFill="text2" w:themeFillTint="33"/>
            <w:noWrap/>
            <w:vAlign w:val="bottom"/>
          </w:tcPr>
          <w:p w14:paraId="7379A090" w14:textId="38310740"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52.226-6 </w:t>
            </w:r>
          </w:p>
        </w:tc>
        <w:tc>
          <w:tcPr>
            <w:tcW w:w="2967" w:type="dxa"/>
            <w:shd w:val="clear" w:color="auto" w:fill="D5DCE4" w:themeFill="text2" w:themeFillTint="33"/>
            <w:vAlign w:val="bottom"/>
          </w:tcPr>
          <w:p w14:paraId="1C11A5D5" w14:textId="3660FE6D"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Promoting Excess Food Donation to Nonprofit Organizations.</w:t>
            </w:r>
          </w:p>
        </w:tc>
        <w:tc>
          <w:tcPr>
            <w:tcW w:w="960" w:type="dxa"/>
            <w:noWrap/>
            <w:vAlign w:val="bottom"/>
          </w:tcPr>
          <w:p w14:paraId="6C13970C" w14:textId="5DDCD44C"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6/1/2020</w:t>
            </w:r>
          </w:p>
        </w:tc>
        <w:tc>
          <w:tcPr>
            <w:tcW w:w="3088" w:type="dxa"/>
            <w:vAlign w:val="bottom"/>
          </w:tcPr>
          <w:p w14:paraId="469689D1" w14:textId="144AC86C"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Applies if the subcontract for service, or sale of food in the United States.</w:t>
            </w:r>
          </w:p>
        </w:tc>
      </w:tr>
      <w:tr w:rsidR="00C64323" w:rsidRPr="0099147E" w14:paraId="1D7CAB05" w14:textId="77777777" w:rsidTr="00576965">
        <w:trPr>
          <w:trHeight w:val="260"/>
        </w:trPr>
        <w:tc>
          <w:tcPr>
            <w:tcW w:w="805" w:type="dxa"/>
            <w:shd w:val="clear" w:color="auto" w:fill="D5DCE4" w:themeFill="text2" w:themeFillTint="33"/>
            <w:vAlign w:val="bottom"/>
          </w:tcPr>
          <w:p w14:paraId="08DBB20F" w14:textId="4BF00142" w:rsidR="00C64323" w:rsidRDefault="00C64323" w:rsidP="00C64323">
            <w:pPr>
              <w:rPr>
                <w:rFonts w:ascii="Calibri" w:hAnsi="Calibri" w:cs="Calibri"/>
                <w:color w:val="000000"/>
              </w:rPr>
            </w:pPr>
            <w:r>
              <w:rPr>
                <w:rFonts w:ascii="Calibri" w:hAnsi="Calibri" w:cs="Calibri"/>
                <w:color w:val="000000"/>
              </w:rPr>
              <w:lastRenderedPageBreak/>
              <w:t>FAR</w:t>
            </w:r>
          </w:p>
        </w:tc>
        <w:tc>
          <w:tcPr>
            <w:tcW w:w="1530" w:type="dxa"/>
            <w:shd w:val="clear" w:color="auto" w:fill="D5DCE4" w:themeFill="text2" w:themeFillTint="33"/>
            <w:noWrap/>
            <w:vAlign w:val="bottom"/>
          </w:tcPr>
          <w:p w14:paraId="6F4AA22B" w14:textId="516D271A"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 xml:space="preserve">52.204-30 </w:t>
            </w:r>
          </w:p>
        </w:tc>
        <w:tc>
          <w:tcPr>
            <w:tcW w:w="2967" w:type="dxa"/>
            <w:shd w:val="clear" w:color="auto" w:fill="D5DCE4" w:themeFill="text2" w:themeFillTint="33"/>
            <w:vAlign w:val="bottom"/>
          </w:tcPr>
          <w:p w14:paraId="1D3C38B8" w14:textId="420D6E2B" w:rsidR="00C64323" w:rsidRPr="0099147E" w:rsidRDefault="00C64323" w:rsidP="00C64323">
            <w:pPr>
              <w:rPr>
                <w:rFonts w:ascii="Arial Narrow" w:eastAsia="Times New Roman" w:hAnsi="Arial Narrow" w:cs="Times New Roman"/>
                <w:color w:val="000000"/>
                <w:sz w:val="20"/>
                <w:szCs w:val="20"/>
              </w:rPr>
            </w:pPr>
            <w:r>
              <w:rPr>
                <w:rFonts w:ascii="Calibri" w:hAnsi="Calibri" w:cs="Calibri"/>
                <w:color w:val="000000"/>
              </w:rPr>
              <w:t>Federal Acquisition Supply Chain Security Act Orders-Prohibition.</w:t>
            </w:r>
          </w:p>
        </w:tc>
        <w:tc>
          <w:tcPr>
            <w:tcW w:w="960" w:type="dxa"/>
            <w:noWrap/>
            <w:vAlign w:val="bottom"/>
          </w:tcPr>
          <w:p w14:paraId="2A58B04E" w14:textId="7BC94BEF" w:rsidR="00C64323" w:rsidRPr="0099147E" w:rsidRDefault="00C64323" w:rsidP="00C64323">
            <w:pPr>
              <w:rPr>
                <w:rFonts w:ascii="Arial Narrow" w:eastAsia="Times New Roman" w:hAnsi="Arial Narrow" w:cs="Times New Roman"/>
                <w:color w:val="000000"/>
                <w:sz w:val="20"/>
                <w:szCs w:val="20"/>
              </w:rPr>
            </w:pPr>
            <w:r w:rsidRPr="00C64323">
              <w:rPr>
                <w:rFonts w:ascii="Arial Narrow" w:eastAsia="Times New Roman" w:hAnsi="Arial Narrow" w:cs="Times New Roman"/>
                <w:color w:val="000000"/>
                <w:sz w:val="20"/>
                <w:szCs w:val="20"/>
              </w:rPr>
              <w:t>12/1/2023</w:t>
            </w:r>
          </w:p>
        </w:tc>
        <w:tc>
          <w:tcPr>
            <w:tcW w:w="3088" w:type="dxa"/>
          </w:tcPr>
          <w:p w14:paraId="2770626D" w14:textId="77777777" w:rsidR="00C64323" w:rsidRPr="0099147E" w:rsidRDefault="00C64323" w:rsidP="00C64323">
            <w:pPr>
              <w:rPr>
                <w:rFonts w:ascii="Arial Narrow" w:eastAsia="Times New Roman" w:hAnsi="Arial Narrow" w:cs="Times New Roman"/>
                <w:color w:val="000000"/>
                <w:sz w:val="20"/>
                <w:szCs w:val="20"/>
              </w:rPr>
            </w:pP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Zacharia, Sunitha K" w:date="2024-09-17T05:51:00Z" w:initials="ZSK">
    <w:p w14:paraId="6B21C952" w14:textId="77777777" w:rsidR="00390D8E" w:rsidRDefault="00390D8E" w:rsidP="00390D8E">
      <w:pPr>
        <w:pStyle w:val="CommentText"/>
      </w:pPr>
      <w:r>
        <w:rPr>
          <w:rStyle w:val="CommentReference"/>
        </w:rPr>
        <w:annotationRef/>
      </w:r>
      <w:r>
        <w:t>This is standard language from the CorpDocs – no changes are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21C95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39766" w16cex:dateUtc="2024-09-17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21C952" w16cid:durableId="2A939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B038" w14:textId="77777777" w:rsidR="001278F9" w:rsidRDefault="001278F9" w:rsidP="006B2C64">
      <w:pPr>
        <w:spacing w:after="0" w:line="240" w:lineRule="auto"/>
      </w:pPr>
      <w:r>
        <w:separator/>
      </w:r>
    </w:p>
  </w:endnote>
  <w:endnote w:type="continuationSeparator" w:id="0">
    <w:p w14:paraId="6269C39D" w14:textId="77777777" w:rsidR="001278F9" w:rsidRDefault="001278F9"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A159" w14:textId="77777777" w:rsidR="00437785" w:rsidRDefault="00437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0DB8" w14:textId="77777777" w:rsidR="00437785" w:rsidRDefault="00437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8EE5" w14:textId="77777777" w:rsidR="00437785" w:rsidRDefault="00437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2694" w14:textId="77777777" w:rsidR="001278F9" w:rsidRDefault="001278F9" w:rsidP="006B2C64">
      <w:pPr>
        <w:spacing w:after="0" w:line="240" w:lineRule="auto"/>
      </w:pPr>
      <w:r>
        <w:separator/>
      </w:r>
    </w:p>
  </w:footnote>
  <w:footnote w:type="continuationSeparator" w:id="0">
    <w:p w14:paraId="65E0F6CF" w14:textId="77777777" w:rsidR="001278F9" w:rsidRDefault="001278F9"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DCFC" w14:textId="77777777" w:rsidR="00437785" w:rsidRDefault="00437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65EEDA21" w:rsidR="0099147E" w:rsidRDefault="00C64323" w:rsidP="006B2C64">
    <w:pPr>
      <w:pStyle w:val="Header"/>
      <w:jc w:val="center"/>
    </w:pPr>
    <w:r>
      <w:t xml:space="preserve">Defense Logistics Agency (DLA) MH-60 Consumable Spares Prime </w:t>
    </w:r>
    <w:proofErr w:type="spellStart"/>
    <w:r>
      <w:t>Flowdowns</w:t>
    </w:r>
    <w:proofErr w:type="spellEnd"/>
    <w:r>
      <w:t xml:space="preserve"> </w:t>
    </w:r>
    <w:r w:rsidRPr="00C64323">
      <w:t>SPE4A1-19-G-0008</w:t>
    </w:r>
    <w:r w:rsidR="00E45BAD">
      <w:t>,</w:t>
    </w:r>
    <w:r>
      <w:t xml:space="preserve"> </w:t>
    </w:r>
    <w:r w:rsidR="00437785">
      <w:t xml:space="preserve">Rev </w:t>
    </w:r>
    <w:r>
      <w:t>-</w:t>
    </w:r>
  </w:p>
  <w:p w14:paraId="763A02EE" w14:textId="02163A94" w:rsidR="00437785" w:rsidRDefault="00C64323" w:rsidP="006B2C64">
    <w:pPr>
      <w:pStyle w:val="Header"/>
      <w:jc w:val="center"/>
    </w:pPr>
    <w:r>
      <w:t>12</w:t>
    </w:r>
    <w:r w:rsidR="00437785">
      <w:t>/</w:t>
    </w:r>
    <w:r>
      <w:t>02</w:t>
    </w:r>
    <w:r w:rsidR="00437785">
      <w:t>/</w:t>
    </w:r>
    <w: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A9F1" w14:textId="77777777" w:rsidR="00437785" w:rsidRDefault="0043778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charia, Sunitha K">
    <w15:presenceInfo w15:providerId="None" w15:userId="Zacharia, Sunitha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278F9"/>
    <w:rsid w:val="001A575E"/>
    <w:rsid w:val="001A6E1B"/>
    <w:rsid w:val="001E162A"/>
    <w:rsid w:val="002C3A26"/>
    <w:rsid w:val="002D0175"/>
    <w:rsid w:val="003130CC"/>
    <w:rsid w:val="00390D8E"/>
    <w:rsid w:val="00402A24"/>
    <w:rsid w:val="00410CDD"/>
    <w:rsid w:val="00437785"/>
    <w:rsid w:val="00446917"/>
    <w:rsid w:val="0051639F"/>
    <w:rsid w:val="00534F05"/>
    <w:rsid w:val="00586BF7"/>
    <w:rsid w:val="00604FEE"/>
    <w:rsid w:val="00666D8F"/>
    <w:rsid w:val="00690CDF"/>
    <w:rsid w:val="006B2C64"/>
    <w:rsid w:val="006C2B3E"/>
    <w:rsid w:val="00740EE9"/>
    <w:rsid w:val="00793130"/>
    <w:rsid w:val="007B6111"/>
    <w:rsid w:val="007B689E"/>
    <w:rsid w:val="007D616E"/>
    <w:rsid w:val="007F7C59"/>
    <w:rsid w:val="008A1587"/>
    <w:rsid w:val="00912CF7"/>
    <w:rsid w:val="0099147E"/>
    <w:rsid w:val="009A7979"/>
    <w:rsid w:val="009D6EA3"/>
    <w:rsid w:val="009E43F1"/>
    <w:rsid w:val="00AC6AB1"/>
    <w:rsid w:val="00AF6A4A"/>
    <w:rsid w:val="00B17BC6"/>
    <w:rsid w:val="00B41C6E"/>
    <w:rsid w:val="00B4750E"/>
    <w:rsid w:val="00BB3D92"/>
    <w:rsid w:val="00BD2853"/>
    <w:rsid w:val="00C64323"/>
    <w:rsid w:val="00C82C72"/>
    <w:rsid w:val="00CA2CFC"/>
    <w:rsid w:val="00CB0D70"/>
    <w:rsid w:val="00DF32AA"/>
    <w:rsid w:val="00E032AB"/>
    <w:rsid w:val="00E24661"/>
    <w:rsid w:val="00E339BA"/>
    <w:rsid w:val="00E45BAD"/>
    <w:rsid w:val="00E830AF"/>
    <w:rsid w:val="00EA3370"/>
    <w:rsid w:val="00F02089"/>
    <w:rsid w:val="00F04C2A"/>
    <w:rsid w:val="00F302AF"/>
    <w:rsid w:val="00F65615"/>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557201798">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2025-12-09T19:32:00Z</dcterms:created>
  <dcterms:modified xsi:type="dcterms:W3CDTF">2025-12-09T19:32:00Z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