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w:t>
      </w:r>
      <w:proofErr w:type="spellStart"/>
      <w:r w:rsidRPr="00B91E56">
        <w:rPr>
          <w:bCs/>
        </w:rPr>
        <w:t>unallowability</w:t>
      </w:r>
      <w:proofErr w:type="spellEnd"/>
      <w:r w:rsidRPr="00B91E56">
        <w:rPr>
          <w:bCs/>
        </w:rPr>
        <w:t xml:space="preserve">, </w:t>
      </w:r>
      <w:proofErr w:type="spellStart"/>
      <w:r w:rsidRPr="00B91E56">
        <w:rPr>
          <w:bCs/>
        </w:rPr>
        <w:t>unallocability</w:t>
      </w:r>
      <w:proofErr w:type="spellEnd"/>
      <w:r w:rsidRPr="00B91E56">
        <w:rPr>
          <w:bCs/>
        </w:rPr>
        <w:t xml:space="preserve">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003992CE" w:rsidR="00390D8E" w:rsidRPr="00DD2840" w:rsidRDefault="00390D8E" w:rsidP="00390D8E">
      <w:pPr>
        <w:spacing w:line="240" w:lineRule="auto"/>
        <w:rPr>
          <w:b/>
        </w:rPr>
      </w:pPr>
      <w:r>
        <w:rPr>
          <w:b/>
        </w:rPr>
        <w:t>D</w:t>
      </w:r>
      <w:r w:rsidRPr="00B91E56">
        <w:rPr>
          <w:b/>
        </w:rPr>
        <w:t xml:space="preserve">. </w:t>
      </w:r>
      <w:r w:rsidR="00546493" w:rsidRPr="00546493">
        <w:rPr>
          <w:b/>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w:t>
      </w:r>
      <w:r w:rsidRPr="00960E04">
        <w:rPr>
          <w:rFonts w:eastAsia="Calibri" w:cstheme="minorHAnsi"/>
          <w:bCs/>
        </w:rPr>
        <w:lastRenderedPageBreak/>
        <w:t>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3"/>
        <w:gridCol w:w="1530"/>
        <w:gridCol w:w="2850"/>
        <w:gridCol w:w="1167"/>
        <w:gridCol w:w="3000"/>
      </w:tblGrid>
      <w:tr w:rsidR="00390D8E" w:rsidRPr="0099147E" w14:paraId="52E98E86" w14:textId="77777777" w:rsidTr="003442DA">
        <w:trPr>
          <w:trHeight w:val="341"/>
        </w:trPr>
        <w:tc>
          <w:tcPr>
            <w:tcW w:w="805"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6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88"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390D8E" w:rsidRPr="0099147E" w14:paraId="212AD005" w14:textId="77777777" w:rsidTr="003442DA">
        <w:trPr>
          <w:trHeight w:val="520"/>
        </w:trPr>
        <w:tc>
          <w:tcPr>
            <w:tcW w:w="805" w:type="dxa"/>
            <w:shd w:val="clear" w:color="auto" w:fill="D5DCE4" w:themeFill="text2" w:themeFillTint="33"/>
          </w:tcPr>
          <w:p w14:paraId="650D87D0" w14:textId="77777777" w:rsidR="00390D8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40769AF2" w14:textId="77777777" w:rsidR="00546493" w:rsidRDefault="00546493" w:rsidP="00546493">
            <w:pPr>
              <w:rPr>
                <w:rFonts w:ascii="Calibri" w:hAnsi="Calibri" w:cs="Calibri"/>
                <w:color w:val="000000"/>
              </w:rPr>
            </w:pPr>
            <w:r>
              <w:rPr>
                <w:rFonts w:ascii="Calibri" w:hAnsi="Calibri" w:cs="Calibri"/>
                <w:color w:val="000000"/>
              </w:rPr>
              <w:t xml:space="preserve">52.209-10 </w:t>
            </w:r>
          </w:p>
          <w:p w14:paraId="53202E4C" w14:textId="03546E0F" w:rsidR="00390D8E" w:rsidRPr="0099147E" w:rsidRDefault="00390D8E" w:rsidP="003442DA">
            <w:pPr>
              <w:rPr>
                <w:rFonts w:ascii="Arial Narrow" w:eastAsia="Times New Roman" w:hAnsi="Arial Narrow" w:cs="Times New Roman"/>
                <w:color w:val="000000"/>
                <w:sz w:val="20"/>
                <w:szCs w:val="20"/>
              </w:rPr>
            </w:pPr>
          </w:p>
        </w:tc>
        <w:tc>
          <w:tcPr>
            <w:tcW w:w="2967" w:type="dxa"/>
            <w:shd w:val="clear" w:color="auto" w:fill="D5DCE4" w:themeFill="text2" w:themeFillTint="33"/>
          </w:tcPr>
          <w:p w14:paraId="149CFD7E" w14:textId="6036799A" w:rsidR="00390D8E" w:rsidRPr="0099147E" w:rsidRDefault="0059598E" w:rsidP="003442DA">
            <w:pPr>
              <w:rPr>
                <w:rFonts w:ascii="Arial Narrow" w:eastAsia="Times New Roman" w:hAnsi="Arial Narrow" w:cs="Times New Roman"/>
                <w:color w:val="000000"/>
                <w:sz w:val="20"/>
                <w:szCs w:val="20"/>
              </w:rPr>
            </w:pPr>
            <w:r w:rsidRPr="0059598E">
              <w:rPr>
                <w:rFonts w:ascii="Arial Narrow" w:eastAsia="Times New Roman" w:hAnsi="Arial Narrow" w:cs="Times New Roman"/>
                <w:color w:val="000000"/>
                <w:sz w:val="20"/>
                <w:szCs w:val="20"/>
              </w:rPr>
              <w:t xml:space="preserve">Prohibition on Contracting </w:t>
            </w:r>
            <w:proofErr w:type="gramStart"/>
            <w:r w:rsidRPr="0059598E">
              <w:rPr>
                <w:rFonts w:ascii="Arial Narrow" w:eastAsia="Times New Roman" w:hAnsi="Arial Narrow" w:cs="Times New Roman"/>
                <w:color w:val="000000"/>
                <w:sz w:val="20"/>
                <w:szCs w:val="20"/>
              </w:rPr>
              <w:t>With</w:t>
            </w:r>
            <w:proofErr w:type="gramEnd"/>
            <w:r w:rsidRPr="0059598E">
              <w:rPr>
                <w:rFonts w:ascii="Arial Narrow" w:eastAsia="Times New Roman" w:hAnsi="Arial Narrow" w:cs="Times New Roman"/>
                <w:color w:val="000000"/>
                <w:sz w:val="20"/>
                <w:szCs w:val="20"/>
              </w:rPr>
              <w:t xml:space="preserve"> Inverted Domestic Corporations.</w:t>
            </w:r>
          </w:p>
        </w:tc>
        <w:tc>
          <w:tcPr>
            <w:tcW w:w="960" w:type="dxa"/>
            <w:noWrap/>
          </w:tcPr>
          <w:p w14:paraId="5D19B689" w14:textId="77777777" w:rsidR="0059598E" w:rsidRDefault="0059598E" w:rsidP="0059598E">
            <w:pPr>
              <w:rPr>
                <w:rFonts w:ascii="Calibri" w:hAnsi="Calibri" w:cs="Calibri"/>
                <w:color w:val="000000"/>
              </w:rPr>
            </w:pPr>
            <w:r>
              <w:rPr>
                <w:rFonts w:ascii="Calibri" w:hAnsi="Calibri" w:cs="Calibri"/>
                <w:color w:val="000000"/>
              </w:rPr>
              <w:t>11/1/2015</w:t>
            </w:r>
          </w:p>
          <w:p w14:paraId="65B5831E" w14:textId="79975D5B" w:rsidR="00390D8E" w:rsidRPr="0099147E" w:rsidRDefault="00390D8E" w:rsidP="003442DA">
            <w:pPr>
              <w:rPr>
                <w:rFonts w:ascii="Arial Narrow" w:eastAsia="Times New Roman" w:hAnsi="Arial Narrow" w:cs="Times New Roman"/>
                <w:color w:val="000000"/>
                <w:sz w:val="20"/>
                <w:szCs w:val="20"/>
              </w:rPr>
            </w:pPr>
          </w:p>
        </w:tc>
        <w:tc>
          <w:tcPr>
            <w:tcW w:w="3088" w:type="dxa"/>
          </w:tcPr>
          <w:p w14:paraId="7F740683" w14:textId="6FB127FA" w:rsidR="00390D8E" w:rsidRPr="0099147E" w:rsidRDefault="00320F11"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None</w:t>
            </w:r>
          </w:p>
        </w:tc>
      </w:tr>
      <w:tr w:rsidR="00390D8E" w:rsidRPr="0099147E" w14:paraId="2AC905EE" w14:textId="77777777" w:rsidTr="00546493">
        <w:trPr>
          <w:trHeight w:val="520"/>
        </w:trPr>
        <w:tc>
          <w:tcPr>
            <w:tcW w:w="805" w:type="dxa"/>
            <w:shd w:val="clear" w:color="auto" w:fill="D5DCE4" w:themeFill="text2" w:themeFillTint="33"/>
          </w:tcPr>
          <w:p w14:paraId="027B102F" w14:textId="77777777" w:rsidR="00390D8E" w:rsidRPr="0099147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0D4B7E44" w14:textId="77777777" w:rsidR="00546493" w:rsidRDefault="00546493" w:rsidP="00546493">
            <w:pPr>
              <w:rPr>
                <w:rFonts w:ascii="Calibri" w:hAnsi="Calibri" w:cs="Calibri"/>
                <w:color w:val="000000"/>
              </w:rPr>
            </w:pPr>
            <w:r>
              <w:rPr>
                <w:rFonts w:ascii="Calibri" w:hAnsi="Calibri" w:cs="Calibri"/>
                <w:color w:val="000000"/>
              </w:rPr>
              <w:t xml:space="preserve">252.225-7015 </w:t>
            </w:r>
          </w:p>
          <w:p w14:paraId="46288FAD" w14:textId="7600FB1F" w:rsidR="00390D8E" w:rsidRPr="0099147E" w:rsidRDefault="00390D8E" w:rsidP="003442DA">
            <w:pPr>
              <w:rPr>
                <w:rFonts w:ascii="Arial Narrow" w:eastAsia="Times New Roman" w:hAnsi="Arial Narrow" w:cs="Times New Roman"/>
                <w:color w:val="000000"/>
                <w:sz w:val="20"/>
                <w:szCs w:val="20"/>
              </w:rPr>
            </w:pPr>
          </w:p>
        </w:tc>
        <w:tc>
          <w:tcPr>
            <w:tcW w:w="2967" w:type="dxa"/>
            <w:shd w:val="clear" w:color="auto" w:fill="D5DCE4" w:themeFill="text2" w:themeFillTint="33"/>
          </w:tcPr>
          <w:p w14:paraId="1D1CA6F6" w14:textId="063E8CF9" w:rsidR="00390D8E" w:rsidRPr="0099147E" w:rsidRDefault="0059598E" w:rsidP="003442DA">
            <w:pPr>
              <w:rPr>
                <w:rFonts w:ascii="Arial Narrow" w:eastAsia="Times New Roman" w:hAnsi="Arial Narrow" w:cs="Times New Roman"/>
                <w:color w:val="000000"/>
                <w:sz w:val="20"/>
                <w:szCs w:val="20"/>
              </w:rPr>
            </w:pPr>
            <w:r w:rsidRPr="0059598E">
              <w:rPr>
                <w:rFonts w:ascii="Arial Narrow" w:eastAsia="Times New Roman" w:hAnsi="Arial Narrow" w:cs="Times New Roman"/>
                <w:color w:val="000000"/>
                <w:sz w:val="20"/>
                <w:szCs w:val="20"/>
              </w:rPr>
              <w:t>Restriction on Acquisition of Hand or Measuring Tools.</w:t>
            </w:r>
          </w:p>
        </w:tc>
        <w:tc>
          <w:tcPr>
            <w:tcW w:w="960" w:type="dxa"/>
            <w:noWrap/>
          </w:tcPr>
          <w:p w14:paraId="76024191" w14:textId="77777777" w:rsidR="0059598E" w:rsidRDefault="0059598E" w:rsidP="0059598E">
            <w:pPr>
              <w:rPr>
                <w:rFonts w:ascii="Calibri" w:hAnsi="Calibri" w:cs="Calibri"/>
                <w:color w:val="000000"/>
              </w:rPr>
            </w:pPr>
            <w:r>
              <w:rPr>
                <w:rFonts w:ascii="Calibri" w:hAnsi="Calibri" w:cs="Calibri"/>
                <w:color w:val="000000"/>
              </w:rPr>
              <w:t>6/1/2005</w:t>
            </w:r>
          </w:p>
          <w:p w14:paraId="6F3DDDF1" w14:textId="2A69D087" w:rsidR="00390D8E" w:rsidRPr="0099147E" w:rsidRDefault="00390D8E" w:rsidP="003442DA">
            <w:pPr>
              <w:rPr>
                <w:rFonts w:ascii="Arial Narrow" w:eastAsia="Times New Roman" w:hAnsi="Arial Narrow" w:cs="Times New Roman"/>
                <w:color w:val="000000"/>
                <w:sz w:val="20"/>
                <w:szCs w:val="20"/>
              </w:rPr>
            </w:pPr>
          </w:p>
        </w:tc>
        <w:tc>
          <w:tcPr>
            <w:tcW w:w="3088" w:type="dxa"/>
          </w:tcPr>
          <w:p w14:paraId="337857B2" w14:textId="62008B71" w:rsidR="00390D8E" w:rsidRPr="0099147E" w:rsidRDefault="00320F11" w:rsidP="003442DA">
            <w:pPr>
              <w:rPr>
                <w:rFonts w:ascii="Arial Narrow" w:eastAsia="Times New Roman" w:hAnsi="Arial Narrow" w:cs="Times New Roman"/>
                <w:color w:val="000000"/>
                <w:sz w:val="20"/>
                <w:szCs w:val="20"/>
              </w:rPr>
            </w:pPr>
            <w:r w:rsidRPr="00320F11">
              <w:rPr>
                <w:rFonts w:ascii="Arial Narrow" w:eastAsia="Times New Roman" w:hAnsi="Arial Narrow" w:cs="Times New Roman"/>
                <w:color w:val="000000"/>
                <w:sz w:val="20"/>
                <w:szCs w:val="20"/>
              </w:rPr>
              <w:t>None</w:t>
            </w:r>
          </w:p>
        </w:tc>
      </w:tr>
      <w:tr w:rsidR="00390D8E" w:rsidRPr="0099147E" w14:paraId="0E2D3549" w14:textId="77777777" w:rsidTr="00546493">
        <w:trPr>
          <w:trHeight w:val="260"/>
        </w:trPr>
        <w:tc>
          <w:tcPr>
            <w:tcW w:w="805" w:type="dxa"/>
            <w:shd w:val="clear" w:color="auto" w:fill="D5DCE4" w:themeFill="text2" w:themeFillTint="33"/>
          </w:tcPr>
          <w:p w14:paraId="7CF55320" w14:textId="77777777" w:rsidR="00390D8E" w:rsidRPr="0099147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4F62FB4C" w14:textId="77777777" w:rsidR="00546493" w:rsidRDefault="00546493" w:rsidP="00546493">
            <w:pPr>
              <w:rPr>
                <w:rFonts w:ascii="Calibri" w:hAnsi="Calibri" w:cs="Calibri"/>
                <w:color w:val="000000"/>
              </w:rPr>
            </w:pPr>
            <w:r>
              <w:rPr>
                <w:rFonts w:ascii="Calibri" w:hAnsi="Calibri" w:cs="Calibri"/>
                <w:color w:val="000000"/>
              </w:rPr>
              <w:t xml:space="preserve">252.225-7025 </w:t>
            </w:r>
          </w:p>
          <w:p w14:paraId="6A82E065" w14:textId="6A92202A" w:rsidR="00390D8E" w:rsidRPr="0099147E" w:rsidRDefault="00390D8E" w:rsidP="003442DA">
            <w:pPr>
              <w:rPr>
                <w:rFonts w:ascii="Arial Narrow" w:eastAsia="Times New Roman" w:hAnsi="Arial Narrow" w:cs="Times New Roman"/>
                <w:color w:val="000000"/>
                <w:sz w:val="20"/>
                <w:szCs w:val="20"/>
              </w:rPr>
            </w:pPr>
          </w:p>
        </w:tc>
        <w:tc>
          <w:tcPr>
            <w:tcW w:w="2967" w:type="dxa"/>
            <w:shd w:val="clear" w:color="auto" w:fill="D5DCE4" w:themeFill="text2" w:themeFillTint="33"/>
          </w:tcPr>
          <w:p w14:paraId="39E76094" w14:textId="2D6DEF72" w:rsidR="00390D8E" w:rsidRPr="0099147E" w:rsidRDefault="0059598E" w:rsidP="003442DA">
            <w:pPr>
              <w:rPr>
                <w:rFonts w:ascii="Arial Narrow" w:eastAsia="Times New Roman" w:hAnsi="Arial Narrow" w:cs="Times New Roman"/>
                <w:color w:val="000000"/>
                <w:sz w:val="20"/>
                <w:szCs w:val="20"/>
              </w:rPr>
            </w:pPr>
            <w:r w:rsidRPr="0059598E">
              <w:rPr>
                <w:rFonts w:ascii="Arial Narrow" w:eastAsia="Times New Roman" w:hAnsi="Arial Narrow" w:cs="Times New Roman"/>
                <w:color w:val="000000"/>
                <w:sz w:val="20"/>
                <w:szCs w:val="20"/>
              </w:rPr>
              <w:t>Restriction on Acquisition of Forgings.</w:t>
            </w:r>
          </w:p>
        </w:tc>
        <w:tc>
          <w:tcPr>
            <w:tcW w:w="960" w:type="dxa"/>
            <w:noWrap/>
          </w:tcPr>
          <w:p w14:paraId="33774DEE" w14:textId="77777777" w:rsidR="0059598E" w:rsidRDefault="0059598E" w:rsidP="0059598E">
            <w:pPr>
              <w:rPr>
                <w:rFonts w:ascii="Calibri" w:hAnsi="Calibri" w:cs="Calibri"/>
                <w:color w:val="000000"/>
              </w:rPr>
            </w:pPr>
            <w:r>
              <w:rPr>
                <w:rFonts w:ascii="Calibri" w:hAnsi="Calibri" w:cs="Calibri"/>
                <w:color w:val="000000"/>
              </w:rPr>
              <w:t>12/1/2009</w:t>
            </w:r>
          </w:p>
          <w:p w14:paraId="7C70D817" w14:textId="33E5ED4E" w:rsidR="00390D8E" w:rsidRPr="0099147E" w:rsidRDefault="00390D8E" w:rsidP="003442DA">
            <w:pPr>
              <w:rPr>
                <w:rFonts w:ascii="Arial Narrow" w:eastAsia="Times New Roman" w:hAnsi="Arial Narrow" w:cs="Times New Roman"/>
                <w:color w:val="000000"/>
                <w:sz w:val="20"/>
                <w:szCs w:val="20"/>
              </w:rPr>
            </w:pPr>
          </w:p>
        </w:tc>
        <w:tc>
          <w:tcPr>
            <w:tcW w:w="3088" w:type="dxa"/>
          </w:tcPr>
          <w:p w14:paraId="3A926F1C" w14:textId="77777777" w:rsidR="00693CDA" w:rsidRDefault="00693CDA" w:rsidP="00693CDA">
            <w:pPr>
              <w:rPr>
                <w:rFonts w:ascii="Calibri" w:hAnsi="Calibri" w:cs="Calibri"/>
                <w:color w:val="000000"/>
              </w:rPr>
            </w:pPr>
            <w:r>
              <w:rPr>
                <w:rFonts w:ascii="Calibri" w:hAnsi="Calibri" w:cs="Calibri"/>
                <w:color w:val="000000"/>
              </w:rPr>
              <w:t>Applies if the Work contains forging items described by the clause.</w:t>
            </w:r>
          </w:p>
          <w:p w14:paraId="101EF1C1" w14:textId="7B7F2E32" w:rsidR="00390D8E" w:rsidRPr="0099147E" w:rsidRDefault="00390D8E" w:rsidP="003442DA">
            <w:pPr>
              <w:rPr>
                <w:rFonts w:ascii="Arial Narrow" w:eastAsia="Times New Roman" w:hAnsi="Arial Narrow" w:cs="Times New Roman"/>
                <w:color w:val="000000"/>
                <w:sz w:val="20"/>
                <w:szCs w:val="20"/>
              </w:rPr>
            </w:pPr>
          </w:p>
        </w:tc>
      </w:tr>
      <w:tr w:rsidR="00390D8E" w:rsidRPr="0099147E" w14:paraId="0B554154" w14:textId="77777777" w:rsidTr="00546493">
        <w:trPr>
          <w:trHeight w:val="440"/>
        </w:trPr>
        <w:tc>
          <w:tcPr>
            <w:tcW w:w="805" w:type="dxa"/>
            <w:shd w:val="clear" w:color="auto" w:fill="D5DCE4" w:themeFill="text2" w:themeFillTint="33"/>
          </w:tcPr>
          <w:p w14:paraId="7761DF86" w14:textId="77777777" w:rsidR="00390D8E" w:rsidRPr="0099147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00C905C1" w14:textId="2F8A9D65" w:rsidR="00546493" w:rsidRPr="00546493" w:rsidRDefault="00546493" w:rsidP="00546493">
            <w:pPr>
              <w:rPr>
                <w:rFonts w:ascii="Calibri" w:hAnsi="Calibri" w:cs="Calibri"/>
                <w:color w:val="000000"/>
              </w:rPr>
            </w:pPr>
            <w:r>
              <w:rPr>
                <w:rFonts w:ascii="Calibri" w:hAnsi="Calibri" w:cs="Calibri"/>
                <w:color w:val="000000"/>
              </w:rPr>
              <w:t xml:space="preserve">252.225-7028 </w:t>
            </w:r>
          </w:p>
        </w:tc>
        <w:tc>
          <w:tcPr>
            <w:tcW w:w="2967" w:type="dxa"/>
            <w:shd w:val="clear" w:color="auto" w:fill="D5DCE4" w:themeFill="text2" w:themeFillTint="33"/>
          </w:tcPr>
          <w:p w14:paraId="3AEE6A25" w14:textId="139CD8DE" w:rsidR="00390D8E" w:rsidRPr="0099147E" w:rsidRDefault="0059598E" w:rsidP="003442DA">
            <w:pPr>
              <w:rPr>
                <w:rFonts w:ascii="Arial Narrow" w:eastAsia="Times New Roman" w:hAnsi="Arial Narrow" w:cs="Times New Roman"/>
                <w:color w:val="000000"/>
                <w:sz w:val="20"/>
                <w:szCs w:val="20"/>
              </w:rPr>
            </w:pPr>
            <w:r w:rsidRPr="0059598E">
              <w:rPr>
                <w:rFonts w:ascii="Arial Narrow" w:eastAsia="Times New Roman" w:hAnsi="Arial Narrow" w:cs="Times New Roman"/>
                <w:color w:val="000000"/>
                <w:sz w:val="20"/>
                <w:szCs w:val="20"/>
              </w:rPr>
              <w:t>Exclusionary Policies and Practices of Foreign Governments.</w:t>
            </w:r>
          </w:p>
        </w:tc>
        <w:tc>
          <w:tcPr>
            <w:tcW w:w="960" w:type="dxa"/>
            <w:noWrap/>
          </w:tcPr>
          <w:p w14:paraId="10AEF585" w14:textId="77777777" w:rsidR="0059598E" w:rsidRDefault="0059598E" w:rsidP="0059598E">
            <w:pPr>
              <w:rPr>
                <w:rFonts w:ascii="Calibri" w:hAnsi="Calibri" w:cs="Calibri"/>
                <w:color w:val="000000"/>
              </w:rPr>
            </w:pPr>
            <w:r>
              <w:rPr>
                <w:rFonts w:ascii="Calibri" w:hAnsi="Calibri" w:cs="Calibri"/>
                <w:color w:val="000000"/>
              </w:rPr>
              <w:t>4/1/2003</w:t>
            </w:r>
          </w:p>
          <w:p w14:paraId="676AEDA6" w14:textId="38902E3A" w:rsidR="00390D8E" w:rsidRPr="0099147E" w:rsidRDefault="00390D8E" w:rsidP="003442DA">
            <w:pPr>
              <w:rPr>
                <w:rFonts w:ascii="Arial Narrow" w:eastAsia="Times New Roman" w:hAnsi="Arial Narrow" w:cs="Times New Roman"/>
                <w:color w:val="000000"/>
                <w:sz w:val="20"/>
                <w:szCs w:val="20"/>
              </w:rPr>
            </w:pPr>
          </w:p>
        </w:tc>
        <w:tc>
          <w:tcPr>
            <w:tcW w:w="3088" w:type="dxa"/>
          </w:tcPr>
          <w:p w14:paraId="0C2BE74E" w14:textId="384CE672" w:rsidR="00390D8E" w:rsidRPr="0099147E" w:rsidRDefault="00693CDA" w:rsidP="00693CDA">
            <w:pPr>
              <w:rPr>
                <w:rFonts w:ascii="Arial Narrow" w:eastAsia="Times New Roman" w:hAnsi="Arial Narrow" w:cs="Times New Roman"/>
                <w:color w:val="000000"/>
                <w:sz w:val="20"/>
                <w:szCs w:val="20"/>
              </w:rPr>
            </w:pPr>
            <w:r w:rsidRPr="00320F11">
              <w:rPr>
                <w:rFonts w:ascii="Arial Narrow" w:eastAsia="Times New Roman" w:hAnsi="Arial Narrow" w:cs="Times New Roman"/>
                <w:color w:val="000000"/>
                <w:sz w:val="20"/>
                <w:szCs w:val="20"/>
              </w:rPr>
              <w:t>None</w:t>
            </w:r>
          </w:p>
        </w:tc>
      </w:tr>
      <w:tr w:rsidR="00390D8E" w:rsidRPr="0099147E" w14:paraId="3EA99EC2" w14:textId="77777777" w:rsidTr="00546493">
        <w:trPr>
          <w:trHeight w:val="260"/>
        </w:trPr>
        <w:tc>
          <w:tcPr>
            <w:tcW w:w="805" w:type="dxa"/>
            <w:shd w:val="clear" w:color="auto" w:fill="D5DCE4" w:themeFill="text2" w:themeFillTint="33"/>
          </w:tcPr>
          <w:p w14:paraId="60B7EA83" w14:textId="77777777" w:rsidR="00390D8E" w:rsidRPr="0099147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62FA5077" w14:textId="77777777" w:rsidR="00546493" w:rsidRDefault="00546493" w:rsidP="00546493">
            <w:pPr>
              <w:rPr>
                <w:rFonts w:ascii="Calibri" w:hAnsi="Calibri" w:cs="Calibri"/>
                <w:color w:val="000000"/>
              </w:rPr>
            </w:pPr>
            <w:r>
              <w:rPr>
                <w:rFonts w:ascii="Calibri" w:hAnsi="Calibri" w:cs="Calibri"/>
                <w:color w:val="000000"/>
              </w:rPr>
              <w:t xml:space="preserve">252.243-7002 </w:t>
            </w:r>
          </w:p>
          <w:p w14:paraId="0AAC89DF" w14:textId="327C5521" w:rsidR="00390D8E" w:rsidRPr="0099147E" w:rsidRDefault="00390D8E" w:rsidP="003442DA">
            <w:pPr>
              <w:rPr>
                <w:rFonts w:ascii="Arial Narrow" w:eastAsia="Times New Roman" w:hAnsi="Arial Narrow" w:cs="Times New Roman"/>
                <w:color w:val="000000"/>
                <w:sz w:val="20"/>
                <w:szCs w:val="20"/>
              </w:rPr>
            </w:pPr>
          </w:p>
        </w:tc>
        <w:tc>
          <w:tcPr>
            <w:tcW w:w="2967" w:type="dxa"/>
            <w:shd w:val="clear" w:color="auto" w:fill="D5DCE4" w:themeFill="text2" w:themeFillTint="33"/>
          </w:tcPr>
          <w:p w14:paraId="1831E12B" w14:textId="3E8CB0C8" w:rsidR="00390D8E" w:rsidRPr="0099147E" w:rsidRDefault="0059598E" w:rsidP="0059598E">
            <w:pPr>
              <w:tabs>
                <w:tab w:val="left" w:pos="900"/>
              </w:tabs>
              <w:rPr>
                <w:rFonts w:ascii="Arial Narrow" w:eastAsia="Times New Roman" w:hAnsi="Arial Narrow" w:cs="Times New Roman"/>
                <w:color w:val="000000"/>
                <w:sz w:val="20"/>
                <w:szCs w:val="20"/>
              </w:rPr>
            </w:pPr>
            <w:r w:rsidRPr="0059598E">
              <w:rPr>
                <w:rFonts w:ascii="Arial Narrow" w:eastAsia="Times New Roman" w:hAnsi="Arial Narrow" w:cs="Times New Roman"/>
                <w:color w:val="000000"/>
                <w:sz w:val="20"/>
                <w:szCs w:val="20"/>
              </w:rPr>
              <w:t>Requests for Equitable Adjustment.</w:t>
            </w:r>
          </w:p>
        </w:tc>
        <w:tc>
          <w:tcPr>
            <w:tcW w:w="960" w:type="dxa"/>
            <w:noWrap/>
          </w:tcPr>
          <w:p w14:paraId="5FE8A653" w14:textId="77777777" w:rsidR="0059598E" w:rsidRDefault="0059598E" w:rsidP="0059598E">
            <w:pPr>
              <w:rPr>
                <w:rFonts w:ascii="Calibri" w:hAnsi="Calibri" w:cs="Calibri"/>
                <w:color w:val="000000"/>
              </w:rPr>
            </w:pPr>
            <w:r>
              <w:rPr>
                <w:rFonts w:ascii="Calibri" w:hAnsi="Calibri" w:cs="Calibri"/>
                <w:color w:val="000000"/>
              </w:rPr>
              <w:t>12/1/2012</w:t>
            </w:r>
          </w:p>
          <w:p w14:paraId="4C97E817" w14:textId="42593C75" w:rsidR="00390D8E" w:rsidRPr="0099147E" w:rsidRDefault="00390D8E" w:rsidP="003442DA">
            <w:pPr>
              <w:rPr>
                <w:rFonts w:ascii="Arial Narrow" w:eastAsia="Times New Roman" w:hAnsi="Arial Narrow" w:cs="Times New Roman"/>
                <w:color w:val="000000"/>
                <w:sz w:val="20"/>
                <w:szCs w:val="20"/>
              </w:rPr>
            </w:pPr>
          </w:p>
        </w:tc>
        <w:tc>
          <w:tcPr>
            <w:tcW w:w="3088" w:type="dxa"/>
          </w:tcPr>
          <w:p w14:paraId="5F557FDC" w14:textId="77777777" w:rsidR="00390D8E" w:rsidRDefault="00320F11" w:rsidP="003442DA">
            <w:pPr>
              <w:rPr>
                <w:rFonts w:ascii="Calibri" w:hAnsi="Calibri" w:cs="Calibri"/>
                <w:color w:val="000000"/>
              </w:rPr>
            </w:pPr>
            <w:r>
              <w:rPr>
                <w:rFonts w:ascii="Calibri" w:hAnsi="Calibri" w:cs="Calibri"/>
                <w:color w:val="000000"/>
              </w:rPr>
              <w:t>"Government" means "Lockheed Martin."</w:t>
            </w:r>
          </w:p>
          <w:p w14:paraId="7AAFA068" w14:textId="1E55E849" w:rsidR="00320F11" w:rsidRPr="00320F11" w:rsidRDefault="00320F11" w:rsidP="003442DA">
            <w:pPr>
              <w:rPr>
                <w:rFonts w:ascii="Calibri" w:hAnsi="Calibri" w:cs="Calibri"/>
                <w:color w:val="000000"/>
              </w:rPr>
            </w:pPr>
          </w:p>
        </w:tc>
      </w:tr>
      <w:tr w:rsidR="00546493" w:rsidRPr="0099147E" w14:paraId="65C589CE" w14:textId="77777777" w:rsidTr="00546493">
        <w:trPr>
          <w:trHeight w:val="260"/>
        </w:trPr>
        <w:tc>
          <w:tcPr>
            <w:tcW w:w="805" w:type="dxa"/>
            <w:shd w:val="clear" w:color="auto" w:fill="D5DCE4" w:themeFill="text2" w:themeFillTint="33"/>
          </w:tcPr>
          <w:p w14:paraId="2403FA8D" w14:textId="311E0A6E" w:rsidR="00546493" w:rsidRDefault="00546493"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47AFC27F" w14:textId="7231C562" w:rsidR="00546493" w:rsidRPr="0099147E" w:rsidRDefault="00546493" w:rsidP="003442DA">
            <w:pPr>
              <w:rPr>
                <w:rFonts w:ascii="Arial Narrow" w:eastAsia="Times New Roman" w:hAnsi="Arial Narrow" w:cs="Times New Roman"/>
                <w:color w:val="000000"/>
                <w:sz w:val="20"/>
                <w:szCs w:val="20"/>
              </w:rPr>
            </w:pPr>
            <w:r w:rsidRPr="00546493">
              <w:rPr>
                <w:rFonts w:ascii="Arial Narrow" w:eastAsia="Times New Roman" w:hAnsi="Arial Narrow" w:cs="Times New Roman"/>
                <w:color w:val="000000"/>
                <w:sz w:val="20"/>
                <w:szCs w:val="20"/>
              </w:rPr>
              <w:t>252.246-7001</w:t>
            </w:r>
          </w:p>
        </w:tc>
        <w:tc>
          <w:tcPr>
            <w:tcW w:w="2967" w:type="dxa"/>
            <w:shd w:val="clear" w:color="auto" w:fill="D5DCE4" w:themeFill="text2" w:themeFillTint="33"/>
          </w:tcPr>
          <w:p w14:paraId="3CC562B8" w14:textId="3254C6C6" w:rsidR="00546493" w:rsidRPr="0099147E" w:rsidRDefault="0059598E" w:rsidP="003442DA">
            <w:pPr>
              <w:rPr>
                <w:rFonts w:ascii="Arial Narrow" w:eastAsia="Times New Roman" w:hAnsi="Arial Narrow" w:cs="Times New Roman"/>
                <w:color w:val="000000"/>
                <w:sz w:val="20"/>
                <w:szCs w:val="20"/>
              </w:rPr>
            </w:pPr>
            <w:r w:rsidRPr="0059598E">
              <w:rPr>
                <w:rFonts w:ascii="Arial Narrow" w:eastAsia="Times New Roman" w:hAnsi="Arial Narrow" w:cs="Times New Roman"/>
                <w:color w:val="000000"/>
                <w:sz w:val="20"/>
                <w:szCs w:val="20"/>
              </w:rPr>
              <w:t>Warranty of data.</w:t>
            </w:r>
          </w:p>
        </w:tc>
        <w:tc>
          <w:tcPr>
            <w:tcW w:w="960" w:type="dxa"/>
            <w:noWrap/>
          </w:tcPr>
          <w:p w14:paraId="2B0B2E21" w14:textId="77777777" w:rsidR="0059598E" w:rsidRDefault="0059598E" w:rsidP="0059598E">
            <w:pPr>
              <w:rPr>
                <w:rFonts w:ascii="Calibri" w:hAnsi="Calibri" w:cs="Calibri"/>
                <w:color w:val="000000"/>
              </w:rPr>
            </w:pPr>
            <w:r>
              <w:rPr>
                <w:rFonts w:ascii="Calibri" w:hAnsi="Calibri" w:cs="Calibri"/>
                <w:color w:val="000000"/>
              </w:rPr>
              <w:t>3/1/2014</w:t>
            </w:r>
          </w:p>
          <w:p w14:paraId="7B690BD9" w14:textId="77777777" w:rsidR="00546493" w:rsidRPr="0099147E" w:rsidRDefault="00546493" w:rsidP="003442DA">
            <w:pPr>
              <w:rPr>
                <w:rFonts w:ascii="Arial Narrow" w:eastAsia="Times New Roman" w:hAnsi="Arial Narrow" w:cs="Times New Roman"/>
                <w:color w:val="000000"/>
                <w:sz w:val="20"/>
                <w:szCs w:val="20"/>
              </w:rPr>
            </w:pPr>
          </w:p>
        </w:tc>
        <w:tc>
          <w:tcPr>
            <w:tcW w:w="3088" w:type="dxa"/>
          </w:tcPr>
          <w:p w14:paraId="3253DE2A" w14:textId="77777777" w:rsidR="00546493" w:rsidRDefault="00320F11" w:rsidP="003442DA">
            <w:pPr>
              <w:rPr>
                <w:rFonts w:ascii="Calibri" w:hAnsi="Calibri" w:cs="Calibri"/>
                <w:color w:val="000000"/>
              </w:rPr>
            </w:pPr>
            <w:r>
              <w:rPr>
                <w:rFonts w:ascii="Calibri" w:hAnsi="Calibri" w:cs="Calibri"/>
                <w:color w:val="000000"/>
              </w:rPr>
              <w:t>"Government" means "Lockheed Martin or the Government." "Contracting Officer" means "Lockheed Martin."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p>
          <w:p w14:paraId="07F89054" w14:textId="60BCEB78" w:rsidR="00320F11" w:rsidRPr="00320F11" w:rsidRDefault="00320F11" w:rsidP="003442DA">
            <w:pPr>
              <w:rPr>
                <w:rFonts w:ascii="Calibri" w:hAnsi="Calibri" w:cs="Calibri"/>
                <w:color w:val="000000"/>
              </w:rPr>
            </w:pPr>
          </w:p>
        </w:tc>
      </w:tr>
      <w:tr w:rsidR="00546493" w:rsidRPr="0099147E" w14:paraId="6E0BE788" w14:textId="77777777" w:rsidTr="00546493">
        <w:trPr>
          <w:trHeight w:val="260"/>
        </w:trPr>
        <w:tc>
          <w:tcPr>
            <w:tcW w:w="805" w:type="dxa"/>
            <w:shd w:val="clear" w:color="auto" w:fill="D5DCE4" w:themeFill="text2" w:themeFillTint="33"/>
          </w:tcPr>
          <w:p w14:paraId="444B14E5" w14:textId="6882FD7E" w:rsidR="00546493" w:rsidRDefault="00546493"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0F6D6DAF" w14:textId="03333474" w:rsidR="00546493" w:rsidRPr="0099147E" w:rsidRDefault="00546493" w:rsidP="003442DA">
            <w:pPr>
              <w:rPr>
                <w:rFonts w:ascii="Arial Narrow" w:eastAsia="Times New Roman" w:hAnsi="Arial Narrow" w:cs="Times New Roman"/>
                <w:color w:val="000000"/>
                <w:sz w:val="20"/>
                <w:szCs w:val="20"/>
              </w:rPr>
            </w:pPr>
            <w:r w:rsidRPr="00546493">
              <w:rPr>
                <w:rFonts w:ascii="Arial Narrow" w:eastAsia="Times New Roman" w:hAnsi="Arial Narrow" w:cs="Times New Roman"/>
                <w:color w:val="000000"/>
                <w:sz w:val="20"/>
                <w:szCs w:val="20"/>
              </w:rPr>
              <w:t>252.225-7027</w:t>
            </w:r>
          </w:p>
        </w:tc>
        <w:tc>
          <w:tcPr>
            <w:tcW w:w="2967" w:type="dxa"/>
            <w:shd w:val="clear" w:color="auto" w:fill="D5DCE4" w:themeFill="text2" w:themeFillTint="33"/>
          </w:tcPr>
          <w:p w14:paraId="741599E7" w14:textId="370DE066" w:rsidR="00546493" w:rsidRPr="0099147E" w:rsidRDefault="0059598E" w:rsidP="003442DA">
            <w:pPr>
              <w:rPr>
                <w:rFonts w:ascii="Arial Narrow" w:eastAsia="Times New Roman" w:hAnsi="Arial Narrow" w:cs="Times New Roman"/>
                <w:color w:val="000000"/>
                <w:sz w:val="20"/>
                <w:szCs w:val="20"/>
              </w:rPr>
            </w:pPr>
            <w:r w:rsidRPr="0059598E">
              <w:rPr>
                <w:rFonts w:ascii="Arial Narrow" w:eastAsia="Times New Roman" w:hAnsi="Arial Narrow" w:cs="Times New Roman"/>
                <w:color w:val="000000"/>
                <w:sz w:val="20"/>
                <w:szCs w:val="20"/>
              </w:rPr>
              <w:t>Restriction on Contingent Fees for Foreign Military Sales.</w:t>
            </w:r>
          </w:p>
        </w:tc>
        <w:tc>
          <w:tcPr>
            <w:tcW w:w="960" w:type="dxa"/>
            <w:noWrap/>
          </w:tcPr>
          <w:p w14:paraId="2AB51C59" w14:textId="77777777" w:rsidR="0059598E" w:rsidRDefault="0059598E" w:rsidP="0059598E">
            <w:pPr>
              <w:rPr>
                <w:rFonts w:ascii="Calibri" w:hAnsi="Calibri" w:cs="Calibri"/>
                <w:color w:val="000000"/>
              </w:rPr>
            </w:pPr>
            <w:r>
              <w:rPr>
                <w:rFonts w:ascii="Calibri" w:hAnsi="Calibri" w:cs="Calibri"/>
                <w:color w:val="000000"/>
              </w:rPr>
              <w:t>4/1/2003</w:t>
            </w:r>
          </w:p>
          <w:p w14:paraId="7BBE301F" w14:textId="77777777" w:rsidR="00546493" w:rsidRPr="0099147E" w:rsidRDefault="00546493" w:rsidP="003442DA">
            <w:pPr>
              <w:rPr>
                <w:rFonts w:ascii="Arial Narrow" w:eastAsia="Times New Roman" w:hAnsi="Arial Narrow" w:cs="Times New Roman"/>
                <w:color w:val="000000"/>
                <w:sz w:val="20"/>
                <w:szCs w:val="20"/>
              </w:rPr>
            </w:pPr>
          </w:p>
        </w:tc>
        <w:tc>
          <w:tcPr>
            <w:tcW w:w="3088" w:type="dxa"/>
          </w:tcPr>
          <w:p w14:paraId="5517DFBC" w14:textId="77777777" w:rsidR="00546493" w:rsidRDefault="00320F11" w:rsidP="00320F11">
            <w:pPr>
              <w:rPr>
                <w:rFonts w:ascii="Calibri" w:hAnsi="Calibri" w:cs="Calibri"/>
                <w:color w:val="000000"/>
              </w:rPr>
            </w:pPr>
            <w:r>
              <w:rPr>
                <w:rFonts w:ascii="Calibri" w:hAnsi="Calibri" w:cs="Calibri"/>
                <w:color w:val="000000"/>
              </w:rPr>
              <w:t>The reference to the clause in paragraph (a) means FAR 52.203-5. The blank in paragraph (b)(1) is completed with "any Government."  Subparagraph (b)(2) is deleted.</w:t>
            </w:r>
          </w:p>
          <w:p w14:paraId="4A49032E" w14:textId="4AA24837" w:rsidR="00320F11" w:rsidRPr="00320F11" w:rsidRDefault="00320F11" w:rsidP="00320F11">
            <w:pPr>
              <w:rPr>
                <w:rFonts w:ascii="Calibri" w:hAnsi="Calibri" w:cs="Calibri"/>
                <w:color w:val="000000"/>
              </w:rPr>
            </w:pPr>
          </w:p>
        </w:tc>
      </w:tr>
      <w:tr w:rsidR="00546493" w:rsidRPr="0099147E" w14:paraId="539CB718" w14:textId="77777777" w:rsidTr="00546493">
        <w:trPr>
          <w:trHeight w:val="260"/>
        </w:trPr>
        <w:tc>
          <w:tcPr>
            <w:tcW w:w="805" w:type="dxa"/>
            <w:shd w:val="clear" w:color="auto" w:fill="D5DCE4" w:themeFill="text2" w:themeFillTint="33"/>
          </w:tcPr>
          <w:p w14:paraId="0B77AB71" w14:textId="0443BB52" w:rsidR="00546493" w:rsidRDefault="00546493"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08F8BDB5" w14:textId="54ADAEA0" w:rsidR="00546493" w:rsidRPr="0099147E" w:rsidRDefault="00546493"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252.225-7013</w:t>
            </w:r>
          </w:p>
        </w:tc>
        <w:tc>
          <w:tcPr>
            <w:tcW w:w="2967" w:type="dxa"/>
            <w:shd w:val="clear" w:color="auto" w:fill="D5DCE4" w:themeFill="text2" w:themeFillTint="33"/>
          </w:tcPr>
          <w:p w14:paraId="58765908" w14:textId="77777777" w:rsidR="00693CDA" w:rsidRPr="00693CDA" w:rsidRDefault="00693CDA" w:rsidP="00693CDA">
            <w:pPr>
              <w:rPr>
                <w:rFonts w:ascii="Arial Narrow" w:eastAsia="Times New Roman" w:hAnsi="Arial Narrow" w:cs="Times New Roman"/>
                <w:color w:val="000000"/>
                <w:sz w:val="20"/>
                <w:szCs w:val="20"/>
              </w:rPr>
            </w:pPr>
            <w:r w:rsidRPr="00693CDA">
              <w:rPr>
                <w:rFonts w:ascii="Arial Narrow" w:eastAsia="Times New Roman" w:hAnsi="Arial Narrow" w:cs="Times New Roman"/>
                <w:color w:val="000000"/>
                <w:sz w:val="20"/>
                <w:szCs w:val="20"/>
              </w:rPr>
              <w:t>Duty-Free Entry</w:t>
            </w:r>
          </w:p>
          <w:p w14:paraId="4992904F" w14:textId="77777777" w:rsidR="00546493" w:rsidRPr="0099147E" w:rsidRDefault="00546493" w:rsidP="003442DA">
            <w:pPr>
              <w:rPr>
                <w:rFonts w:ascii="Arial Narrow" w:eastAsia="Times New Roman" w:hAnsi="Arial Narrow" w:cs="Times New Roman"/>
                <w:color w:val="000000"/>
                <w:sz w:val="20"/>
                <w:szCs w:val="20"/>
              </w:rPr>
            </w:pPr>
          </w:p>
        </w:tc>
        <w:tc>
          <w:tcPr>
            <w:tcW w:w="960" w:type="dxa"/>
            <w:noWrap/>
          </w:tcPr>
          <w:p w14:paraId="16B71273" w14:textId="23CD7D83" w:rsidR="00546493" w:rsidRPr="0099147E" w:rsidRDefault="00693CDA"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03/01/2022</w:t>
            </w:r>
          </w:p>
        </w:tc>
        <w:tc>
          <w:tcPr>
            <w:tcW w:w="3088" w:type="dxa"/>
          </w:tcPr>
          <w:p w14:paraId="432CF3EB" w14:textId="609ED3A3" w:rsidR="00693CDA" w:rsidRDefault="00693CDA" w:rsidP="00693CDA">
            <w:pPr>
              <w:rPr>
                <w:rFonts w:ascii="Segoe UI" w:hAnsi="Segoe UI" w:cs="Segoe UI"/>
                <w:color w:val="172B4D"/>
                <w:sz w:val="21"/>
                <w:szCs w:val="21"/>
              </w:rPr>
            </w:pPr>
            <w:r>
              <w:rPr>
                <w:rFonts w:ascii="Segoe UI" w:hAnsi="Segoe UI" w:cs="Segoe UI"/>
                <w:color w:val="172B4D"/>
                <w:sz w:val="21"/>
                <w:szCs w:val="21"/>
              </w:rPr>
              <w:t xml:space="preserve">In paragraph (c),"Government" and "Contracting Officer" means" Lockheed Martin." The prime contract number and identity </w:t>
            </w:r>
            <w:r>
              <w:rPr>
                <w:rFonts w:ascii="Segoe UI" w:hAnsi="Segoe UI" w:cs="Segoe UI"/>
                <w:color w:val="172B4D"/>
                <w:sz w:val="21"/>
                <w:szCs w:val="21"/>
              </w:rPr>
              <w:lastRenderedPageBreak/>
              <w:t>of the Contracting Officer are contained elsewhere in this contract. If this information is not available, contact Lockheed Martin's procurement representative.</w:t>
            </w:r>
          </w:p>
          <w:p w14:paraId="084B80E6" w14:textId="77777777" w:rsidR="00546493" w:rsidRPr="0099147E" w:rsidRDefault="00546493" w:rsidP="003442DA">
            <w:pPr>
              <w:rPr>
                <w:rFonts w:ascii="Arial Narrow" w:eastAsia="Times New Roman" w:hAnsi="Arial Narrow" w:cs="Times New Roman"/>
                <w:color w:val="000000"/>
                <w:sz w:val="20"/>
                <w:szCs w:val="20"/>
              </w:rPr>
            </w:pP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256B" w14:textId="77777777" w:rsidR="001E162A" w:rsidRDefault="001E162A" w:rsidP="006B2C64">
      <w:pPr>
        <w:spacing w:after="0" w:line="240" w:lineRule="auto"/>
      </w:pPr>
      <w:r>
        <w:separator/>
      </w:r>
    </w:p>
  </w:endnote>
  <w:endnote w:type="continuationSeparator" w:id="0">
    <w:p w14:paraId="4BCFBE37" w14:textId="77777777" w:rsidR="001E162A" w:rsidRDefault="001E162A"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A159" w14:textId="77777777" w:rsidR="00437785" w:rsidRDefault="00437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0DB8" w14:textId="77777777" w:rsidR="00437785" w:rsidRDefault="00437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8EE5" w14:textId="77777777" w:rsidR="00437785" w:rsidRDefault="00437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50F27" w14:textId="77777777" w:rsidR="001E162A" w:rsidRDefault="001E162A" w:rsidP="006B2C64">
      <w:pPr>
        <w:spacing w:after="0" w:line="240" w:lineRule="auto"/>
      </w:pPr>
      <w:r>
        <w:separator/>
      </w:r>
    </w:p>
  </w:footnote>
  <w:footnote w:type="continuationSeparator" w:id="0">
    <w:p w14:paraId="07EA9D0F" w14:textId="77777777" w:rsidR="001E162A" w:rsidRDefault="001E162A"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DCFC" w14:textId="77777777" w:rsidR="00437785" w:rsidRDefault="00437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1F651C65" w:rsidR="0099147E" w:rsidRDefault="00546493" w:rsidP="006B2C64">
    <w:pPr>
      <w:pStyle w:val="Header"/>
      <w:jc w:val="center"/>
    </w:pPr>
    <w:r>
      <w:t>MK48 MOD 7 G&amp;C Section, N00024-23-C-6411</w:t>
    </w:r>
    <w:r w:rsidR="00437785">
      <w:t xml:space="preserve">, Rev </w:t>
    </w:r>
    <w:r>
      <w:t>2</w:t>
    </w:r>
  </w:p>
  <w:p w14:paraId="763A02EE" w14:textId="49757597" w:rsidR="00437785" w:rsidRDefault="00546493" w:rsidP="006B2C64">
    <w:pPr>
      <w:pStyle w:val="Header"/>
      <w:jc w:val="center"/>
    </w:pPr>
    <w:r>
      <w:t>10</w:t>
    </w:r>
    <w:r w:rsidR="00437785">
      <w:t>/</w:t>
    </w:r>
    <w:r>
      <w:t>21</w:t>
    </w:r>
    <w:r w:rsidR="00437785">
      <w:t>/</w:t>
    </w:r>
    <w: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A9F1" w14:textId="77777777" w:rsidR="00437785" w:rsidRDefault="004377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A575E"/>
    <w:rsid w:val="001A6E1B"/>
    <w:rsid w:val="001B517A"/>
    <w:rsid w:val="001E162A"/>
    <w:rsid w:val="002260F0"/>
    <w:rsid w:val="002A2EA1"/>
    <w:rsid w:val="002D0175"/>
    <w:rsid w:val="003130CC"/>
    <w:rsid w:val="00320F11"/>
    <w:rsid w:val="00390D8E"/>
    <w:rsid w:val="00402A24"/>
    <w:rsid w:val="00410CDD"/>
    <w:rsid w:val="00437785"/>
    <w:rsid w:val="0051639F"/>
    <w:rsid w:val="00534F05"/>
    <w:rsid w:val="005453F3"/>
    <w:rsid w:val="00546493"/>
    <w:rsid w:val="00586BF7"/>
    <w:rsid w:val="0059598E"/>
    <w:rsid w:val="00604FEE"/>
    <w:rsid w:val="00666D8F"/>
    <w:rsid w:val="00690CDF"/>
    <w:rsid w:val="00693CDA"/>
    <w:rsid w:val="006B2C64"/>
    <w:rsid w:val="006C2B3E"/>
    <w:rsid w:val="00740EE9"/>
    <w:rsid w:val="00793130"/>
    <w:rsid w:val="007B689E"/>
    <w:rsid w:val="007F7C59"/>
    <w:rsid w:val="008A1587"/>
    <w:rsid w:val="00912CF7"/>
    <w:rsid w:val="0099147E"/>
    <w:rsid w:val="009A7979"/>
    <w:rsid w:val="009D6EA3"/>
    <w:rsid w:val="009E43F1"/>
    <w:rsid w:val="00AC6AB1"/>
    <w:rsid w:val="00AF6A4A"/>
    <w:rsid w:val="00B17BC6"/>
    <w:rsid w:val="00B41C6E"/>
    <w:rsid w:val="00B4750E"/>
    <w:rsid w:val="00BB3D92"/>
    <w:rsid w:val="00BD2853"/>
    <w:rsid w:val="00C7755A"/>
    <w:rsid w:val="00C82C72"/>
    <w:rsid w:val="00CA2CFC"/>
    <w:rsid w:val="00CB0D70"/>
    <w:rsid w:val="00DF32AA"/>
    <w:rsid w:val="00E032AB"/>
    <w:rsid w:val="00E24661"/>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1499">
      <w:bodyDiv w:val="1"/>
      <w:marLeft w:val="0"/>
      <w:marRight w:val="0"/>
      <w:marTop w:val="0"/>
      <w:marBottom w:val="0"/>
      <w:divBdr>
        <w:top w:val="none" w:sz="0" w:space="0" w:color="auto"/>
        <w:left w:val="none" w:sz="0" w:space="0" w:color="auto"/>
        <w:bottom w:val="none" w:sz="0" w:space="0" w:color="auto"/>
        <w:right w:val="none" w:sz="0" w:space="0" w:color="auto"/>
      </w:divBdr>
    </w:div>
    <w:div w:id="100035293">
      <w:bodyDiv w:val="1"/>
      <w:marLeft w:val="0"/>
      <w:marRight w:val="0"/>
      <w:marTop w:val="0"/>
      <w:marBottom w:val="0"/>
      <w:divBdr>
        <w:top w:val="none" w:sz="0" w:space="0" w:color="auto"/>
        <w:left w:val="none" w:sz="0" w:space="0" w:color="auto"/>
        <w:bottom w:val="none" w:sz="0" w:space="0" w:color="auto"/>
        <w:right w:val="none" w:sz="0" w:space="0" w:color="auto"/>
      </w:divBdr>
    </w:div>
    <w:div w:id="147134929">
      <w:bodyDiv w:val="1"/>
      <w:marLeft w:val="0"/>
      <w:marRight w:val="0"/>
      <w:marTop w:val="0"/>
      <w:marBottom w:val="0"/>
      <w:divBdr>
        <w:top w:val="none" w:sz="0" w:space="0" w:color="auto"/>
        <w:left w:val="none" w:sz="0" w:space="0" w:color="auto"/>
        <w:bottom w:val="none" w:sz="0" w:space="0" w:color="auto"/>
        <w:right w:val="none" w:sz="0" w:space="0" w:color="auto"/>
      </w:divBdr>
    </w:div>
    <w:div w:id="163908001">
      <w:bodyDiv w:val="1"/>
      <w:marLeft w:val="0"/>
      <w:marRight w:val="0"/>
      <w:marTop w:val="0"/>
      <w:marBottom w:val="0"/>
      <w:divBdr>
        <w:top w:val="none" w:sz="0" w:space="0" w:color="auto"/>
        <w:left w:val="none" w:sz="0" w:space="0" w:color="auto"/>
        <w:bottom w:val="none" w:sz="0" w:space="0" w:color="auto"/>
        <w:right w:val="none" w:sz="0" w:space="0" w:color="auto"/>
      </w:divBdr>
    </w:div>
    <w:div w:id="203710839">
      <w:bodyDiv w:val="1"/>
      <w:marLeft w:val="0"/>
      <w:marRight w:val="0"/>
      <w:marTop w:val="0"/>
      <w:marBottom w:val="0"/>
      <w:divBdr>
        <w:top w:val="none" w:sz="0" w:space="0" w:color="auto"/>
        <w:left w:val="none" w:sz="0" w:space="0" w:color="auto"/>
        <w:bottom w:val="none" w:sz="0" w:space="0" w:color="auto"/>
        <w:right w:val="none" w:sz="0" w:space="0" w:color="auto"/>
      </w:divBdr>
    </w:div>
    <w:div w:id="303660638">
      <w:bodyDiv w:val="1"/>
      <w:marLeft w:val="0"/>
      <w:marRight w:val="0"/>
      <w:marTop w:val="0"/>
      <w:marBottom w:val="0"/>
      <w:divBdr>
        <w:top w:val="none" w:sz="0" w:space="0" w:color="auto"/>
        <w:left w:val="none" w:sz="0" w:space="0" w:color="auto"/>
        <w:bottom w:val="none" w:sz="0" w:space="0" w:color="auto"/>
        <w:right w:val="none" w:sz="0" w:space="0" w:color="auto"/>
      </w:divBdr>
    </w:div>
    <w:div w:id="434986751">
      <w:bodyDiv w:val="1"/>
      <w:marLeft w:val="0"/>
      <w:marRight w:val="0"/>
      <w:marTop w:val="0"/>
      <w:marBottom w:val="0"/>
      <w:divBdr>
        <w:top w:val="none" w:sz="0" w:space="0" w:color="auto"/>
        <w:left w:val="none" w:sz="0" w:space="0" w:color="auto"/>
        <w:bottom w:val="none" w:sz="0" w:space="0" w:color="auto"/>
        <w:right w:val="none" w:sz="0" w:space="0" w:color="auto"/>
      </w:divBdr>
    </w:div>
    <w:div w:id="554313649">
      <w:bodyDiv w:val="1"/>
      <w:marLeft w:val="0"/>
      <w:marRight w:val="0"/>
      <w:marTop w:val="0"/>
      <w:marBottom w:val="0"/>
      <w:divBdr>
        <w:top w:val="none" w:sz="0" w:space="0" w:color="auto"/>
        <w:left w:val="none" w:sz="0" w:space="0" w:color="auto"/>
        <w:bottom w:val="none" w:sz="0" w:space="0" w:color="auto"/>
        <w:right w:val="none" w:sz="0" w:space="0" w:color="auto"/>
      </w:divBdr>
    </w:div>
    <w:div w:id="562525968">
      <w:bodyDiv w:val="1"/>
      <w:marLeft w:val="0"/>
      <w:marRight w:val="0"/>
      <w:marTop w:val="0"/>
      <w:marBottom w:val="0"/>
      <w:divBdr>
        <w:top w:val="none" w:sz="0" w:space="0" w:color="auto"/>
        <w:left w:val="none" w:sz="0" w:space="0" w:color="auto"/>
        <w:bottom w:val="none" w:sz="0" w:space="0" w:color="auto"/>
        <w:right w:val="none" w:sz="0" w:space="0" w:color="auto"/>
      </w:divBdr>
    </w:div>
    <w:div w:id="600996600">
      <w:bodyDiv w:val="1"/>
      <w:marLeft w:val="0"/>
      <w:marRight w:val="0"/>
      <w:marTop w:val="0"/>
      <w:marBottom w:val="0"/>
      <w:divBdr>
        <w:top w:val="none" w:sz="0" w:space="0" w:color="auto"/>
        <w:left w:val="none" w:sz="0" w:space="0" w:color="auto"/>
        <w:bottom w:val="none" w:sz="0" w:space="0" w:color="auto"/>
        <w:right w:val="none" w:sz="0" w:space="0" w:color="auto"/>
      </w:divBdr>
    </w:div>
    <w:div w:id="610475241">
      <w:bodyDiv w:val="1"/>
      <w:marLeft w:val="0"/>
      <w:marRight w:val="0"/>
      <w:marTop w:val="0"/>
      <w:marBottom w:val="0"/>
      <w:divBdr>
        <w:top w:val="none" w:sz="0" w:space="0" w:color="auto"/>
        <w:left w:val="none" w:sz="0" w:space="0" w:color="auto"/>
        <w:bottom w:val="none" w:sz="0" w:space="0" w:color="auto"/>
        <w:right w:val="none" w:sz="0" w:space="0" w:color="auto"/>
      </w:divBdr>
    </w:div>
    <w:div w:id="812067901">
      <w:bodyDiv w:val="1"/>
      <w:marLeft w:val="0"/>
      <w:marRight w:val="0"/>
      <w:marTop w:val="0"/>
      <w:marBottom w:val="0"/>
      <w:divBdr>
        <w:top w:val="none" w:sz="0" w:space="0" w:color="auto"/>
        <w:left w:val="none" w:sz="0" w:space="0" w:color="auto"/>
        <w:bottom w:val="none" w:sz="0" w:space="0" w:color="auto"/>
        <w:right w:val="none" w:sz="0" w:space="0" w:color="auto"/>
      </w:divBdr>
    </w:div>
    <w:div w:id="882207767">
      <w:bodyDiv w:val="1"/>
      <w:marLeft w:val="0"/>
      <w:marRight w:val="0"/>
      <w:marTop w:val="0"/>
      <w:marBottom w:val="0"/>
      <w:divBdr>
        <w:top w:val="none" w:sz="0" w:space="0" w:color="auto"/>
        <w:left w:val="none" w:sz="0" w:space="0" w:color="auto"/>
        <w:bottom w:val="none" w:sz="0" w:space="0" w:color="auto"/>
        <w:right w:val="none" w:sz="0" w:space="0" w:color="auto"/>
      </w:divBdr>
    </w:div>
    <w:div w:id="1000963099">
      <w:bodyDiv w:val="1"/>
      <w:marLeft w:val="0"/>
      <w:marRight w:val="0"/>
      <w:marTop w:val="0"/>
      <w:marBottom w:val="0"/>
      <w:divBdr>
        <w:top w:val="none" w:sz="0" w:space="0" w:color="auto"/>
        <w:left w:val="none" w:sz="0" w:space="0" w:color="auto"/>
        <w:bottom w:val="none" w:sz="0" w:space="0" w:color="auto"/>
        <w:right w:val="none" w:sz="0" w:space="0" w:color="auto"/>
      </w:divBdr>
    </w:div>
    <w:div w:id="1002319798">
      <w:bodyDiv w:val="1"/>
      <w:marLeft w:val="0"/>
      <w:marRight w:val="0"/>
      <w:marTop w:val="0"/>
      <w:marBottom w:val="0"/>
      <w:divBdr>
        <w:top w:val="none" w:sz="0" w:space="0" w:color="auto"/>
        <w:left w:val="none" w:sz="0" w:space="0" w:color="auto"/>
        <w:bottom w:val="none" w:sz="0" w:space="0" w:color="auto"/>
        <w:right w:val="none" w:sz="0" w:space="0" w:color="auto"/>
      </w:divBdr>
    </w:div>
    <w:div w:id="1053041319">
      <w:bodyDiv w:val="1"/>
      <w:marLeft w:val="0"/>
      <w:marRight w:val="0"/>
      <w:marTop w:val="0"/>
      <w:marBottom w:val="0"/>
      <w:divBdr>
        <w:top w:val="none" w:sz="0" w:space="0" w:color="auto"/>
        <w:left w:val="none" w:sz="0" w:space="0" w:color="auto"/>
        <w:bottom w:val="none" w:sz="0" w:space="0" w:color="auto"/>
        <w:right w:val="none" w:sz="0" w:space="0" w:color="auto"/>
      </w:divBdr>
    </w:div>
    <w:div w:id="1218320260">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45285710">
      <w:bodyDiv w:val="1"/>
      <w:marLeft w:val="0"/>
      <w:marRight w:val="0"/>
      <w:marTop w:val="0"/>
      <w:marBottom w:val="0"/>
      <w:divBdr>
        <w:top w:val="none" w:sz="0" w:space="0" w:color="auto"/>
        <w:left w:val="none" w:sz="0" w:space="0" w:color="auto"/>
        <w:bottom w:val="none" w:sz="0" w:space="0" w:color="auto"/>
        <w:right w:val="none" w:sz="0" w:space="0" w:color="auto"/>
      </w:divBdr>
    </w:div>
    <w:div w:id="1402217095">
      <w:bodyDiv w:val="1"/>
      <w:marLeft w:val="0"/>
      <w:marRight w:val="0"/>
      <w:marTop w:val="0"/>
      <w:marBottom w:val="0"/>
      <w:divBdr>
        <w:top w:val="none" w:sz="0" w:space="0" w:color="auto"/>
        <w:left w:val="none" w:sz="0" w:space="0" w:color="auto"/>
        <w:bottom w:val="none" w:sz="0" w:space="0" w:color="auto"/>
        <w:right w:val="none" w:sz="0" w:space="0" w:color="auto"/>
      </w:divBdr>
    </w:div>
    <w:div w:id="176496067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61360149">
      <w:bodyDiv w:val="1"/>
      <w:marLeft w:val="0"/>
      <w:marRight w:val="0"/>
      <w:marTop w:val="0"/>
      <w:marBottom w:val="0"/>
      <w:divBdr>
        <w:top w:val="none" w:sz="0" w:space="0" w:color="auto"/>
        <w:left w:val="none" w:sz="0" w:space="0" w:color="auto"/>
        <w:bottom w:val="none" w:sz="0" w:space="0" w:color="auto"/>
        <w:right w:val="none" w:sz="0" w:space="0" w:color="auto"/>
      </w:divBdr>
    </w:div>
    <w:div w:id="1956213841">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2025-10-22T19:34:00Z</dcterms:created>
  <dcterms:modified xsi:type="dcterms:W3CDTF">2025-10-22T19:34:00Z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